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8FB0" w14:textId="77777777" w:rsidR="009D38C3" w:rsidRDefault="001C1A7E" w:rsidP="00C57B68">
      <w:pPr>
        <w:pStyle w:val="Textkrper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366836" wp14:editId="3148ADFE">
            <wp:extent cx="4481810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81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93C6F" w14:textId="77777777" w:rsidR="009D38C3" w:rsidRDefault="009D38C3">
      <w:pPr>
        <w:pStyle w:val="Textkrper"/>
        <w:rPr>
          <w:rFonts w:ascii="Times New Roman"/>
          <w:sz w:val="20"/>
        </w:rPr>
      </w:pPr>
    </w:p>
    <w:p w14:paraId="1C4064F0" w14:textId="69F26756" w:rsidR="009D38C3" w:rsidRDefault="009D38C3">
      <w:pPr>
        <w:pStyle w:val="Textkrper"/>
        <w:rPr>
          <w:rFonts w:ascii="Times New Roman"/>
          <w:sz w:val="20"/>
        </w:rPr>
      </w:pPr>
    </w:p>
    <w:p w14:paraId="13733832" w14:textId="77777777" w:rsidR="005F378A" w:rsidRDefault="005F378A">
      <w:pPr>
        <w:pStyle w:val="Textkrper"/>
        <w:rPr>
          <w:rFonts w:ascii="Times New Roman"/>
          <w:sz w:val="20"/>
        </w:rPr>
      </w:pPr>
    </w:p>
    <w:p w14:paraId="6D6D1357" w14:textId="337F31DB" w:rsidR="009D38C3" w:rsidRPr="000C0DEF" w:rsidRDefault="001C1A7E" w:rsidP="007D60A7">
      <w:pPr>
        <w:pStyle w:val="Textkrper"/>
        <w:spacing w:before="196" w:line="276" w:lineRule="auto"/>
        <w:rPr>
          <w:color w:val="000000" w:themeColor="text1"/>
          <w:lang w:val="de-CH"/>
        </w:rPr>
      </w:pPr>
      <w:r w:rsidRPr="000C0DEF">
        <w:rPr>
          <w:color w:val="000000" w:themeColor="text1"/>
          <w:spacing w:val="-2"/>
          <w:lang w:val="de-CH"/>
        </w:rPr>
        <w:t>Medienmitteilung</w:t>
      </w:r>
      <w:r w:rsidR="00283C19" w:rsidRPr="000C0DEF">
        <w:rPr>
          <w:color w:val="000000" w:themeColor="text1"/>
          <w:spacing w:val="-2"/>
          <w:lang w:val="de-CH"/>
        </w:rPr>
        <w:t xml:space="preserve"> </w:t>
      </w:r>
      <w:r w:rsidR="000C0DEF" w:rsidRPr="000C0DEF">
        <w:rPr>
          <w:color w:val="000000" w:themeColor="text1"/>
          <w:spacing w:val="-2"/>
          <w:lang w:val="de-CH"/>
        </w:rPr>
        <w:t>– Bern, 1</w:t>
      </w:r>
      <w:r w:rsidR="009F1C17">
        <w:rPr>
          <w:color w:val="000000" w:themeColor="text1"/>
          <w:spacing w:val="-2"/>
          <w:lang w:val="de-CH"/>
        </w:rPr>
        <w:t>9</w:t>
      </w:r>
      <w:r w:rsidR="000C0DEF" w:rsidRPr="000C0DEF">
        <w:rPr>
          <w:color w:val="000000" w:themeColor="text1"/>
          <w:spacing w:val="-2"/>
          <w:lang w:val="de-CH"/>
        </w:rPr>
        <w:t xml:space="preserve">. Mai </w:t>
      </w:r>
      <w:r w:rsidR="005D7216" w:rsidRPr="000C0DEF">
        <w:rPr>
          <w:color w:val="000000" w:themeColor="text1"/>
          <w:spacing w:val="-2"/>
          <w:lang w:val="de-CH"/>
        </w:rPr>
        <w:t>|</w:t>
      </w:r>
      <w:r w:rsidR="00283C19" w:rsidRPr="000C0DEF">
        <w:rPr>
          <w:color w:val="000000" w:themeColor="text1"/>
          <w:spacing w:val="-2"/>
          <w:lang w:val="de-CH"/>
        </w:rPr>
        <w:t xml:space="preserve"> Sperrfrist: 21. Mai, </w:t>
      </w:r>
      <w:r w:rsidR="008907BD">
        <w:rPr>
          <w:color w:val="000000" w:themeColor="text1"/>
          <w:spacing w:val="-2"/>
          <w:lang w:val="de-CH"/>
        </w:rPr>
        <w:t>12.00</w:t>
      </w:r>
      <w:r w:rsidR="00283C19" w:rsidRPr="000C0DEF">
        <w:rPr>
          <w:color w:val="000000" w:themeColor="text1"/>
          <w:spacing w:val="-2"/>
          <w:lang w:val="de-CH"/>
        </w:rPr>
        <w:t xml:space="preserve"> Uhr</w:t>
      </w:r>
    </w:p>
    <w:p w14:paraId="0DA474DC" w14:textId="77777777" w:rsidR="005F378A" w:rsidRPr="00D5153F" w:rsidRDefault="005F378A" w:rsidP="007D60A7">
      <w:pPr>
        <w:pStyle w:val="Textkrper"/>
        <w:spacing w:before="8" w:line="276" w:lineRule="auto"/>
        <w:rPr>
          <w:sz w:val="29"/>
          <w:lang w:val="de-CH"/>
        </w:rPr>
      </w:pPr>
    </w:p>
    <w:p w14:paraId="6F2C2C52" w14:textId="0A0E97D4" w:rsidR="009D38C3" w:rsidRPr="00D5153F" w:rsidRDefault="005814A2" w:rsidP="007D60A7">
      <w:pPr>
        <w:pStyle w:val="Titel"/>
        <w:spacing w:line="276" w:lineRule="auto"/>
        <w:ind w:left="0"/>
        <w:rPr>
          <w:lang w:val="de-CH"/>
        </w:rPr>
      </w:pPr>
      <w:r>
        <w:rPr>
          <w:lang w:val="de-CH"/>
        </w:rPr>
        <w:t xml:space="preserve">Schweizerische </w:t>
      </w:r>
      <w:r w:rsidR="006828ED">
        <w:rPr>
          <w:lang w:val="de-CH"/>
        </w:rPr>
        <w:t>Akademie der Geistes- und Sozialwissenschaften ver</w:t>
      </w:r>
      <w:r w:rsidR="00484091">
        <w:rPr>
          <w:lang w:val="de-CH"/>
        </w:rPr>
        <w:t>leiht</w:t>
      </w:r>
      <w:r w:rsidR="006828ED">
        <w:rPr>
          <w:lang w:val="de-CH"/>
        </w:rPr>
        <w:t xml:space="preserve"> Nachwuchspreis</w:t>
      </w:r>
      <w:r w:rsidR="00FA0EB7">
        <w:rPr>
          <w:lang w:val="de-CH"/>
        </w:rPr>
        <w:t xml:space="preserve"> </w:t>
      </w:r>
    </w:p>
    <w:p w14:paraId="0CAD3CA1" w14:textId="77777777" w:rsidR="009D38C3" w:rsidRPr="00D5153F" w:rsidRDefault="009D38C3" w:rsidP="007D60A7">
      <w:pPr>
        <w:pStyle w:val="Textkrper"/>
        <w:spacing w:before="8" w:line="276" w:lineRule="auto"/>
        <w:rPr>
          <w:b/>
          <w:sz w:val="24"/>
          <w:lang w:val="de-CH"/>
        </w:rPr>
      </w:pPr>
    </w:p>
    <w:p w14:paraId="1E2828A9" w14:textId="05650D24" w:rsidR="005F378A" w:rsidRPr="005F378A" w:rsidRDefault="005F378A" w:rsidP="005F378A">
      <w:pPr>
        <w:pStyle w:val="berschrift1"/>
        <w:spacing w:before="1" w:line="276" w:lineRule="auto"/>
        <w:ind w:right="469"/>
        <w:rPr>
          <w:b w:val="0"/>
          <w:bCs w:val="0"/>
          <w:lang w:val="de-CH"/>
        </w:rPr>
      </w:pPr>
      <w:r>
        <w:rPr>
          <w:lang w:val="de-CH"/>
        </w:rPr>
        <w:t xml:space="preserve">Drei wissenschaftliche Aufsätze haben den Nachwuchspreis der </w:t>
      </w:r>
      <w:r w:rsidRPr="005F378A">
        <w:rPr>
          <w:lang w:val="de-CH"/>
        </w:rPr>
        <w:t>Schweizerische</w:t>
      </w:r>
      <w:r w:rsidR="001D0DAD">
        <w:rPr>
          <w:lang w:val="de-CH"/>
        </w:rPr>
        <w:t>n</w:t>
      </w:r>
      <w:r w:rsidRPr="005F378A">
        <w:rPr>
          <w:lang w:val="de-CH"/>
        </w:rPr>
        <w:t xml:space="preserve"> Akademie der Geistes- und Sozialwissenschaften </w:t>
      </w:r>
      <w:r>
        <w:rPr>
          <w:lang w:val="de-CH"/>
        </w:rPr>
        <w:t xml:space="preserve">gewonnen. Sie befassen sich </w:t>
      </w:r>
      <w:r w:rsidRPr="005F378A">
        <w:rPr>
          <w:lang w:val="de-CH"/>
        </w:rPr>
        <w:t xml:space="preserve">mit dem Einfluss von Medien auf politische Einstellungen, mit dem Verständnis </w:t>
      </w:r>
      <w:proofErr w:type="gramStart"/>
      <w:r w:rsidRPr="005F378A">
        <w:rPr>
          <w:lang w:val="de-CH"/>
        </w:rPr>
        <w:t>von Mensch</w:t>
      </w:r>
      <w:proofErr w:type="gramEnd"/>
      <w:r w:rsidRPr="005F378A">
        <w:rPr>
          <w:lang w:val="de-CH"/>
        </w:rPr>
        <w:t xml:space="preserve"> und Umwelt in der Sowjetunion und mit mathematischen Fähigkeiten bei Kleinkindern</w:t>
      </w:r>
      <w:r w:rsidRPr="005F378A">
        <w:rPr>
          <w:b w:val="0"/>
          <w:bCs w:val="0"/>
          <w:lang w:val="de-CH"/>
        </w:rPr>
        <w:t xml:space="preserve">. </w:t>
      </w:r>
    </w:p>
    <w:p w14:paraId="765162B9" w14:textId="77777777" w:rsidR="005F378A" w:rsidRDefault="005F378A" w:rsidP="007D60A7">
      <w:pPr>
        <w:pStyle w:val="berschrift1"/>
        <w:spacing w:before="1" w:line="276" w:lineRule="auto"/>
        <w:ind w:right="469"/>
        <w:rPr>
          <w:lang w:val="de-CH"/>
        </w:rPr>
      </w:pPr>
    </w:p>
    <w:p w14:paraId="4CE1B425" w14:textId="42BE9F80" w:rsidR="009D38C3" w:rsidRPr="00D5153F" w:rsidRDefault="00D5153F" w:rsidP="00F83724">
      <w:pPr>
        <w:pStyle w:val="berschrift1"/>
        <w:spacing w:before="1" w:line="276" w:lineRule="auto"/>
        <w:ind w:right="469"/>
        <w:rPr>
          <w:b w:val="0"/>
          <w:sz w:val="28"/>
          <w:lang w:val="de-CH"/>
        </w:rPr>
      </w:pPr>
      <w:r w:rsidRPr="005F378A">
        <w:rPr>
          <w:b w:val="0"/>
          <w:bCs w:val="0"/>
          <w:lang w:val="de-CH"/>
        </w:rPr>
        <w:t xml:space="preserve">Die Schweizerische Akademie der Geistes- und Sozialwissenschaften </w:t>
      </w:r>
      <w:r w:rsidR="005F378A">
        <w:rPr>
          <w:b w:val="0"/>
          <w:bCs w:val="0"/>
          <w:lang w:val="de-CH"/>
        </w:rPr>
        <w:t xml:space="preserve">(SAGW) </w:t>
      </w:r>
      <w:r w:rsidRPr="005F378A">
        <w:rPr>
          <w:b w:val="0"/>
          <w:bCs w:val="0"/>
          <w:lang w:val="de-CH"/>
        </w:rPr>
        <w:t>zeichnet</w:t>
      </w:r>
      <w:r w:rsidR="0005054D">
        <w:rPr>
          <w:b w:val="0"/>
          <w:bCs w:val="0"/>
          <w:lang w:val="de-CH"/>
        </w:rPr>
        <w:t xml:space="preserve"> jedes Jahr </w:t>
      </w:r>
      <w:r w:rsidRPr="005F378A">
        <w:rPr>
          <w:b w:val="0"/>
          <w:bCs w:val="0"/>
          <w:lang w:val="de-CH"/>
        </w:rPr>
        <w:t xml:space="preserve">drei herausragende wissenschaftliche </w:t>
      </w:r>
      <w:r w:rsidR="00CC334E" w:rsidRPr="005F378A">
        <w:rPr>
          <w:b w:val="0"/>
          <w:bCs w:val="0"/>
          <w:lang w:val="de-CH"/>
        </w:rPr>
        <w:t>Aufsätze</w:t>
      </w:r>
      <w:r w:rsidRPr="005F378A">
        <w:rPr>
          <w:b w:val="0"/>
          <w:bCs w:val="0"/>
          <w:lang w:val="de-CH"/>
        </w:rPr>
        <w:t xml:space="preserve"> </w:t>
      </w:r>
      <w:r w:rsidR="00CC334E" w:rsidRPr="005F378A">
        <w:rPr>
          <w:b w:val="0"/>
          <w:bCs w:val="0"/>
          <w:lang w:val="de-CH"/>
        </w:rPr>
        <w:t xml:space="preserve">mit dem Nachwuchspreis </w:t>
      </w:r>
      <w:r w:rsidR="005F378A">
        <w:rPr>
          <w:b w:val="0"/>
          <w:bCs w:val="0"/>
          <w:lang w:val="de-CH"/>
        </w:rPr>
        <w:t xml:space="preserve">aus. Die Gewinnerinnen und Gewinner erhalten insgesamt 18 000 Franken. </w:t>
      </w:r>
      <w:r w:rsidR="0005054D">
        <w:rPr>
          <w:b w:val="0"/>
          <w:bCs w:val="0"/>
          <w:lang w:val="de-CH"/>
        </w:rPr>
        <w:t xml:space="preserve">Dieses Jahr geht der </w:t>
      </w:r>
      <w:r w:rsidR="0005054D" w:rsidRPr="00C465B6">
        <w:rPr>
          <w:b w:val="0"/>
          <w:bCs w:val="0"/>
          <w:lang w:val="de-CH"/>
        </w:rPr>
        <w:t xml:space="preserve">Nachwuchspreis Gold </w:t>
      </w:r>
      <w:r w:rsidR="00893DA3" w:rsidRPr="00C465B6">
        <w:rPr>
          <w:b w:val="0"/>
          <w:bCs w:val="0"/>
          <w:lang w:val="de-CH"/>
        </w:rPr>
        <w:t xml:space="preserve">an </w:t>
      </w:r>
      <w:r w:rsidR="00910FD9">
        <w:rPr>
          <w:b w:val="0"/>
          <w:bCs w:val="0"/>
          <w:lang w:val="de-CH"/>
        </w:rPr>
        <w:t>die</w:t>
      </w:r>
      <w:r w:rsidR="00893DA3" w:rsidRPr="00C465B6">
        <w:rPr>
          <w:b w:val="0"/>
          <w:bCs w:val="0"/>
          <w:lang w:val="de-CH"/>
        </w:rPr>
        <w:t xml:space="preserve"> </w:t>
      </w:r>
      <w:r w:rsidR="00F83724" w:rsidRPr="00C465B6">
        <w:rPr>
          <w:b w:val="0"/>
          <w:bCs w:val="0"/>
          <w:lang w:val="de-CH"/>
        </w:rPr>
        <w:t xml:space="preserve">Politologen Florian Foos (London School </w:t>
      </w:r>
      <w:proofErr w:type="spellStart"/>
      <w:r w:rsidR="00F83724" w:rsidRPr="00C465B6">
        <w:rPr>
          <w:b w:val="0"/>
          <w:bCs w:val="0"/>
          <w:lang w:val="de-CH"/>
        </w:rPr>
        <w:t>of</w:t>
      </w:r>
      <w:proofErr w:type="spellEnd"/>
      <w:r w:rsidR="00F83724" w:rsidRPr="00C465B6">
        <w:rPr>
          <w:b w:val="0"/>
          <w:bCs w:val="0"/>
          <w:lang w:val="de-CH"/>
        </w:rPr>
        <w:t xml:space="preserve"> Economics</w:t>
      </w:r>
      <w:r w:rsidR="00910FD9">
        <w:rPr>
          <w:b w:val="0"/>
          <w:bCs w:val="0"/>
          <w:lang w:val="de-CH"/>
        </w:rPr>
        <w:t xml:space="preserve">, </w:t>
      </w:r>
      <w:r w:rsidR="00910FD9" w:rsidRPr="00C465B6">
        <w:rPr>
          <w:b w:val="0"/>
          <w:bCs w:val="0"/>
          <w:lang w:val="de-CH"/>
        </w:rPr>
        <w:t>Zeitpunkt der Veröffentlichung</w:t>
      </w:r>
      <w:r w:rsidR="00F83724" w:rsidRPr="00C465B6">
        <w:rPr>
          <w:b w:val="0"/>
          <w:bCs w:val="0"/>
          <w:lang w:val="de-CH"/>
        </w:rPr>
        <w:t>)</w:t>
      </w:r>
      <w:r w:rsidR="00910FD9">
        <w:rPr>
          <w:b w:val="0"/>
          <w:bCs w:val="0"/>
          <w:lang w:val="de-CH"/>
        </w:rPr>
        <w:t xml:space="preserve"> und </w:t>
      </w:r>
      <w:r w:rsidR="00910FD9" w:rsidRPr="00C465B6">
        <w:rPr>
          <w:b w:val="0"/>
          <w:bCs w:val="0"/>
          <w:lang w:val="de-CH"/>
        </w:rPr>
        <w:t>Daniel Bischof (Universität Züric</w:t>
      </w:r>
      <w:r w:rsidR="00910FD9">
        <w:rPr>
          <w:b w:val="0"/>
          <w:bCs w:val="0"/>
          <w:lang w:val="de-CH"/>
        </w:rPr>
        <w:t>h</w:t>
      </w:r>
      <w:r w:rsidR="00910FD9" w:rsidRPr="00C465B6">
        <w:rPr>
          <w:b w:val="0"/>
          <w:bCs w:val="0"/>
          <w:lang w:val="de-CH"/>
        </w:rPr>
        <w:t>)</w:t>
      </w:r>
      <w:r w:rsidR="00F83724" w:rsidRPr="00C465B6">
        <w:rPr>
          <w:b w:val="0"/>
          <w:bCs w:val="0"/>
          <w:lang w:val="de-CH"/>
        </w:rPr>
        <w:t xml:space="preserve">. Silber gewinnen der Historiker Felix Frey (Universität </w:t>
      </w:r>
      <w:r w:rsidR="00484B80" w:rsidRPr="00C465B6">
        <w:rPr>
          <w:b w:val="0"/>
          <w:bCs w:val="0"/>
          <w:lang w:val="de-CH"/>
        </w:rPr>
        <w:t>Bern</w:t>
      </w:r>
      <w:r w:rsidR="00F83724" w:rsidRPr="00C465B6">
        <w:rPr>
          <w:b w:val="0"/>
          <w:bCs w:val="0"/>
          <w:lang w:val="de-CH"/>
        </w:rPr>
        <w:t>) und die Historikerin Anne</w:t>
      </w:r>
      <w:r w:rsidR="009F1C17">
        <w:rPr>
          <w:b w:val="0"/>
          <w:bCs w:val="0"/>
          <w:lang w:val="de-CH"/>
        </w:rPr>
        <w:t xml:space="preserve"> E.</w:t>
      </w:r>
      <w:r w:rsidR="00F83724" w:rsidRPr="00C465B6">
        <w:rPr>
          <w:b w:val="0"/>
          <w:bCs w:val="0"/>
          <w:lang w:val="de-CH"/>
        </w:rPr>
        <w:t xml:space="preserve"> Hasselmann (</w:t>
      </w:r>
      <w:r w:rsidR="00D17578" w:rsidRPr="00C465B6">
        <w:rPr>
          <w:b w:val="0"/>
          <w:bCs w:val="0"/>
          <w:lang w:val="de-CH"/>
        </w:rPr>
        <w:t>Historisches Museum Basel</w:t>
      </w:r>
      <w:r w:rsidR="00F83724" w:rsidRPr="00C465B6">
        <w:rPr>
          <w:b w:val="0"/>
          <w:bCs w:val="0"/>
          <w:lang w:val="de-CH"/>
        </w:rPr>
        <w:t>), Bronze die Psychologin Thalia Cavadini (Universität Genf).</w:t>
      </w:r>
    </w:p>
    <w:p w14:paraId="68D3BB7B" w14:textId="77777777" w:rsidR="00F83724" w:rsidRDefault="00F83724" w:rsidP="007D60A7">
      <w:pPr>
        <w:spacing w:before="1" w:line="276" w:lineRule="auto"/>
        <w:rPr>
          <w:b/>
          <w:spacing w:val="-4"/>
          <w:lang w:val="de-CH"/>
        </w:rPr>
      </w:pPr>
    </w:p>
    <w:p w14:paraId="30AFAE3F" w14:textId="3607EB1E" w:rsidR="00FF5A0A" w:rsidRDefault="001C1A7E" w:rsidP="007D60A7">
      <w:pPr>
        <w:spacing w:before="1" w:line="276" w:lineRule="auto"/>
        <w:rPr>
          <w:b/>
          <w:spacing w:val="-4"/>
          <w:lang w:val="de-CH"/>
        </w:rPr>
      </w:pPr>
      <w:r w:rsidRPr="00CC334E">
        <w:rPr>
          <w:b/>
          <w:spacing w:val="-4"/>
          <w:lang w:val="de-CH"/>
        </w:rPr>
        <w:t>Gold</w:t>
      </w:r>
      <w:r w:rsidR="007E54E2">
        <w:rPr>
          <w:b/>
          <w:spacing w:val="-4"/>
          <w:lang w:val="de-CH"/>
        </w:rPr>
        <w:t>: Der Einfluss der Zeitung «</w:t>
      </w:r>
      <w:r w:rsidR="00EE06BC">
        <w:rPr>
          <w:b/>
          <w:spacing w:val="-4"/>
          <w:lang w:val="de-CH"/>
        </w:rPr>
        <w:t xml:space="preserve">The </w:t>
      </w:r>
      <w:r w:rsidR="007E54E2">
        <w:rPr>
          <w:b/>
          <w:spacing w:val="-4"/>
          <w:lang w:val="de-CH"/>
        </w:rPr>
        <w:t xml:space="preserve">Sun» auf </w:t>
      </w:r>
      <w:r w:rsidR="004E5B9E">
        <w:rPr>
          <w:b/>
          <w:spacing w:val="-4"/>
          <w:lang w:val="de-CH"/>
        </w:rPr>
        <w:t xml:space="preserve">Euroskeptizismus </w:t>
      </w:r>
      <w:r w:rsidR="007E54E2">
        <w:rPr>
          <w:b/>
          <w:spacing w:val="-4"/>
          <w:lang w:val="de-CH"/>
        </w:rPr>
        <w:t xml:space="preserve">in England </w:t>
      </w:r>
    </w:p>
    <w:p w14:paraId="518FAD7B" w14:textId="77777777" w:rsidR="005F378A" w:rsidRDefault="005F378A" w:rsidP="007D60A7">
      <w:pPr>
        <w:spacing w:before="1" w:line="276" w:lineRule="auto"/>
        <w:rPr>
          <w:b/>
          <w:spacing w:val="-4"/>
          <w:lang w:val="de-CH"/>
        </w:rPr>
      </w:pPr>
    </w:p>
    <w:p w14:paraId="12214355" w14:textId="38FCA8CB" w:rsidR="00FF5A0A" w:rsidRDefault="003B6613" w:rsidP="007D60A7">
      <w:pPr>
        <w:spacing w:before="1" w:line="276" w:lineRule="auto"/>
        <w:rPr>
          <w:bCs/>
          <w:spacing w:val="-4"/>
          <w:lang w:val="de-CH"/>
        </w:rPr>
      </w:pPr>
      <w:r>
        <w:rPr>
          <w:bCs/>
          <w:spacing w:val="-4"/>
          <w:lang w:val="de-CH"/>
        </w:rPr>
        <w:t xml:space="preserve">Die </w:t>
      </w:r>
      <w:r w:rsidR="00555BBE">
        <w:rPr>
          <w:bCs/>
          <w:spacing w:val="-4"/>
          <w:lang w:val="de-CH"/>
        </w:rPr>
        <w:t xml:space="preserve">populäre britische </w:t>
      </w:r>
      <w:r>
        <w:rPr>
          <w:bCs/>
          <w:spacing w:val="-4"/>
          <w:lang w:val="de-CH"/>
        </w:rPr>
        <w:t>Boulevardzeitung «</w:t>
      </w:r>
      <w:r w:rsidR="00EE06BC">
        <w:rPr>
          <w:bCs/>
          <w:spacing w:val="-4"/>
          <w:lang w:val="de-CH"/>
        </w:rPr>
        <w:t xml:space="preserve">The </w:t>
      </w:r>
      <w:r>
        <w:rPr>
          <w:bCs/>
          <w:spacing w:val="-4"/>
          <w:lang w:val="de-CH"/>
        </w:rPr>
        <w:t xml:space="preserve">Sun» </w:t>
      </w:r>
      <w:r w:rsidR="00555BBE">
        <w:rPr>
          <w:bCs/>
          <w:spacing w:val="-4"/>
          <w:lang w:val="de-CH"/>
        </w:rPr>
        <w:t xml:space="preserve">kritisierte die EU bereits früh </w:t>
      </w:r>
      <w:r w:rsidR="00850224">
        <w:rPr>
          <w:bCs/>
          <w:spacing w:val="-4"/>
          <w:lang w:val="de-CH"/>
        </w:rPr>
        <w:t xml:space="preserve">und regelmässig </w:t>
      </w:r>
      <w:r w:rsidR="00555BBE">
        <w:rPr>
          <w:bCs/>
          <w:spacing w:val="-4"/>
          <w:lang w:val="de-CH"/>
        </w:rPr>
        <w:t>massiv</w:t>
      </w:r>
      <w:r w:rsidR="00850224">
        <w:rPr>
          <w:bCs/>
          <w:spacing w:val="-4"/>
          <w:lang w:val="de-CH"/>
        </w:rPr>
        <w:t xml:space="preserve">. Sie </w:t>
      </w:r>
      <w:r w:rsidR="00555BBE">
        <w:rPr>
          <w:bCs/>
          <w:spacing w:val="-4"/>
          <w:lang w:val="de-CH"/>
        </w:rPr>
        <w:t xml:space="preserve">gab gar eine Ja-Empfehlung für das Brexit-Referendum ab. </w:t>
      </w:r>
      <w:r w:rsidR="00A10F0F">
        <w:rPr>
          <w:bCs/>
          <w:spacing w:val="-4"/>
          <w:lang w:val="de-CH"/>
        </w:rPr>
        <w:t xml:space="preserve">Die </w:t>
      </w:r>
      <w:r w:rsidR="00910FD9">
        <w:rPr>
          <w:bCs/>
          <w:spacing w:val="-4"/>
          <w:lang w:val="de-CH"/>
        </w:rPr>
        <w:t>Politikwissenschaftler</w:t>
      </w:r>
      <w:r w:rsidR="00A10F0F">
        <w:rPr>
          <w:bCs/>
          <w:spacing w:val="-4"/>
          <w:lang w:val="de-CH"/>
        </w:rPr>
        <w:t xml:space="preserve"> </w:t>
      </w:r>
      <w:r w:rsidR="0044730D">
        <w:rPr>
          <w:bCs/>
          <w:spacing w:val="-4"/>
          <w:lang w:val="de-CH"/>
        </w:rPr>
        <w:t>Florian Foos und Daniel Bischof</w:t>
      </w:r>
      <w:r w:rsidR="005F378A">
        <w:rPr>
          <w:bCs/>
          <w:spacing w:val="-4"/>
          <w:lang w:val="de-CH"/>
        </w:rPr>
        <w:t xml:space="preserve"> </w:t>
      </w:r>
      <w:r w:rsidR="00850224">
        <w:rPr>
          <w:bCs/>
          <w:spacing w:val="-4"/>
          <w:lang w:val="de-CH"/>
        </w:rPr>
        <w:t>konnten nun nachweisen, dass die jahrelange Medienkampagne den Euroskeptizismus in der Bevölkerung tatsächlich verstärkte.</w:t>
      </w:r>
      <w:r w:rsidR="00FD6A25">
        <w:rPr>
          <w:bCs/>
          <w:spacing w:val="-4"/>
          <w:lang w:val="de-CH"/>
        </w:rPr>
        <w:t xml:space="preserve"> Für ihre Forschung </w:t>
      </w:r>
      <w:r w:rsidR="004E5B9E">
        <w:rPr>
          <w:bCs/>
          <w:spacing w:val="-4"/>
          <w:lang w:val="de-CH"/>
        </w:rPr>
        <w:t xml:space="preserve">machten </w:t>
      </w:r>
      <w:r w:rsidR="0044730D">
        <w:rPr>
          <w:bCs/>
          <w:spacing w:val="-4"/>
          <w:lang w:val="de-CH"/>
        </w:rPr>
        <w:t>sie sich</w:t>
      </w:r>
      <w:r w:rsidR="004E5B9E">
        <w:rPr>
          <w:bCs/>
          <w:spacing w:val="-4"/>
          <w:lang w:val="de-CH"/>
        </w:rPr>
        <w:t xml:space="preserve"> eine aussergewöhnliche Situation zu Nutze</w:t>
      </w:r>
      <w:r w:rsidR="00BF69D3">
        <w:rPr>
          <w:bCs/>
          <w:spacing w:val="-4"/>
          <w:lang w:val="de-CH"/>
        </w:rPr>
        <w:t>:</w:t>
      </w:r>
      <w:r w:rsidR="004E5B9E">
        <w:rPr>
          <w:bCs/>
          <w:spacing w:val="-4"/>
          <w:lang w:val="de-CH"/>
        </w:rPr>
        <w:t xml:space="preserve"> </w:t>
      </w:r>
      <w:r w:rsidR="00BF69D3">
        <w:rPr>
          <w:bCs/>
          <w:spacing w:val="-4"/>
          <w:lang w:val="de-CH"/>
        </w:rPr>
        <w:t xml:space="preserve">Im </w:t>
      </w:r>
      <w:r w:rsidR="00491317">
        <w:rPr>
          <w:bCs/>
          <w:spacing w:val="-4"/>
          <w:lang w:val="de-CH"/>
        </w:rPr>
        <w:t xml:space="preserve">nordenglischen </w:t>
      </w:r>
      <w:r w:rsidR="00027048">
        <w:rPr>
          <w:bCs/>
          <w:spacing w:val="-4"/>
          <w:lang w:val="de-CH"/>
        </w:rPr>
        <w:t>Bezirk</w:t>
      </w:r>
      <w:r w:rsidR="00491317">
        <w:rPr>
          <w:bCs/>
          <w:spacing w:val="-4"/>
          <w:lang w:val="de-CH"/>
        </w:rPr>
        <w:t xml:space="preserve"> </w:t>
      </w:r>
      <w:proofErr w:type="spellStart"/>
      <w:r w:rsidR="00491317">
        <w:rPr>
          <w:bCs/>
          <w:spacing w:val="-4"/>
          <w:lang w:val="de-CH"/>
        </w:rPr>
        <w:t>Merseyside</w:t>
      </w:r>
      <w:proofErr w:type="spellEnd"/>
      <w:r w:rsidR="00491317">
        <w:rPr>
          <w:bCs/>
          <w:spacing w:val="-4"/>
          <w:lang w:val="de-CH"/>
        </w:rPr>
        <w:t xml:space="preserve"> </w:t>
      </w:r>
      <w:r w:rsidR="00BF69D3">
        <w:rPr>
          <w:bCs/>
          <w:spacing w:val="-4"/>
          <w:lang w:val="de-CH"/>
        </w:rPr>
        <w:t>wird</w:t>
      </w:r>
      <w:r w:rsidR="004E5B9E">
        <w:rPr>
          <w:bCs/>
          <w:spacing w:val="-4"/>
          <w:lang w:val="de-CH"/>
        </w:rPr>
        <w:t xml:space="preserve"> </w:t>
      </w:r>
      <w:r w:rsidR="00BF69D3">
        <w:rPr>
          <w:bCs/>
          <w:spacing w:val="-4"/>
          <w:lang w:val="de-CH"/>
        </w:rPr>
        <w:t>die</w:t>
      </w:r>
      <w:r w:rsidR="00854499">
        <w:rPr>
          <w:bCs/>
          <w:spacing w:val="-4"/>
          <w:lang w:val="de-CH"/>
        </w:rPr>
        <w:t xml:space="preserve"> Sun</w:t>
      </w:r>
      <w:r w:rsidR="00BF69D3">
        <w:rPr>
          <w:bCs/>
          <w:spacing w:val="-4"/>
          <w:lang w:val="de-CH"/>
        </w:rPr>
        <w:t xml:space="preserve"> seit </w:t>
      </w:r>
      <w:r w:rsidR="008B1DD2">
        <w:rPr>
          <w:bCs/>
          <w:spacing w:val="-4"/>
          <w:lang w:val="de-CH"/>
        </w:rPr>
        <w:t>1989</w:t>
      </w:r>
      <w:r w:rsidR="00BF69D3">
        <w:rPr>
          <w:bCs/>
          <w:spacing w:val="-4"/>
          <w:lang w:val="de-CH"/>
        </w:rPr>
        <w:t xml:space="preserve"> boykottiert</w:t>
      </w:r>
      <w:r w:rsidR="00854499">
        <w:rPr>
          <w:bCs/>
          <w:spacing w:val="-4"/>
          <w:lang w:val="de-CH"/>
        </w:rPr>
        <w:t>, wei</w:t>
      </w:r>
      <w:r w:rsidR="00BF69D3">
        <w:rPr>
          <w:bCs/>
          <w:spacing w:val="-4"/>
          <w:lang w:val="de-CH"/>
        </w:rPr>
        <w:t xml:space="preserve">l </w:t>
      </w:r>
      <w:r w:rsidR="008B1DD2">
        <w:rPr>
          <w:bCs/>
          <w:spacing w:val="-4"/>
          <w:lang w:val="de-CH"/>
        </w:rPr>
        <w:t xml:space="preserve">sie das damalige </w:t>
      </w:r>
      <w:proofErr w:type="spellStart"/>
      <w:r w:rsidR="004E5B9E">
        <w:rPr>
          <w:bCs/>
          <w:spacing w:val="-4"/>
          <w:lang w:val="de-CH"/>
        </w:rPr>
        <w:t>Hillsborough</w:t>
      </w:r>
      <w:proofErr w:type="spellEnd"/>
      <w:r w:rsidR="004E5B9E">
        <w:rPr>
          <w:bCs/>
          <w:spacing w:val="-4"/>
          <w:lang w:val="de-CH"/>
        </w:rPr>
        <w:t>-</w:t>
      </w:r>
      <w:r w:rsidR="008B1DD2">
        <w:rPr>
          <w:bCs/>
          <w:spacing w:val="-4"/>
          <w:lang w:val="de-CH"/>
        </w:rPr>
        <w:t>Fussballd</w:t>
      </w:r>
      <w:r w:rsidR="00BF69D3">
        <w:rPr>
          <w:bCs/>
          <w:spacing w:val="-4"/>
          <w:lang w:val="de-CH"/>
        </w:rPr>
        <w:t>esaster</w:t>
      </w:r>
      <w:r w:rsidR="00854499">
        <w:rPr>
          <w:bCs/>
          <w:spacing w:val="-4"/>
          <w:lang w:val="de-CH"/>
        </w:rPr>
        <w:t xml:space="preserve"> </w:t>
      </w:r>
      <w:r w:rsidR="008B1DD2">
        <w:rPr>
          <w:bCs/>
          <w:spacing w:val="-4"/>
          <w:lang w:val="de-CH"/>
        </w:rPr>
        <w:t>mit 9</w:t>
      </w:r>
      <w:r w:rsidR="00EE06BC">
        <w:rPr>
          <w:bCs/>
          <w:spacing w:val="-4"/>
          <w:lang w:val="de-CH"/>
        </w:rPr>
        <w:t>7</w:t>
      </w:r>
      <w:r w:rsidR="008B1DD2">
        <w:rPr>
          <w:bCs/>
          <w:spacing w:val="-4"/>
          <w:lang w:val="de-CH"/>
        </w:rPr>
        <w:t xml:space="preserve"> Todesopfern </w:t>
      </w:r>
      <w:r w:rsidR="00BF69D3">
        <w:rPr>
          <w:bCs/>
          <w:spacing w:val="-4"/>
          <w:lang w:val="de-CH"/>
        </w:rPr>
        <w:t>falsch darstellte</w:t>
      </w:r>
      <w:r w:rsidR="006436A5">
        <w:rPr>
          <w:bCs/>
          <w:spacing w:val="-4"/>
          <w:lang w:val="de-CH"/>
        </w:rPr>
        <w:t>.</w:t>
      </w:r>
      <w:r w:rsidR="00FD6A25">
        <w:rPr>
          <w:bCs/>
          <w:spacing w:val="-4"/>
          <w:lang w:val="de-CH"/>
        </w:rPr>
        <w:t xml:space="preserve"> </w:t>
      </w:r>
      <w:r w:rsidR="007D76A7">
        <w:rPr>
          <w:bCs/>
          <w:spacing w:val="-4"/>
          <w:lang w:val="de-CH"/>
        </w:rPr>
        <w:t xml:space="preserve">Die Autoren verglichen die </w:t>
      </w:r>
      <w:r w:rsidR="003A057D">
        <w:rPr>
          <w:bCs/>
          <w:spacing w:val="-4"/>
          <w:lang w:val="de-CH"/>
        </w:rPr>
        <w:t xml:space="preserve">politischen </w:t>
      </w:r>
      <w:r w:rsidR="007D76A7">
        <w:rPr>
          <w:bCs/>
          <w:spacing w:val="-4"/>
          <w:lang w:val="de-CH"/>
        </w:rPr>
        <w:t xml:space="preserve">Einstellungen in </w:t>
      </w:r>
      <w:proofErr w:type="spellStart"/>
      <w:r w:rsidR="007D76A7">
        <w:rPr>
          <w:bCs/>
          <w:spacing w:val="-4"/>
          <w:lang w:val="de-CH"/>
        </w:rPr>
        <w:t>Merseyside</w:t>
      </w:r>
      <w:proofErr w:type="spellEnd"/>
      <w:r w:rsidR="007D76A7">
        <w:rPr>
          <w:bCs/>
          <w:spacing w:val="-4"/>
          <w:lang w:val="de-CH"/>
        </w:rPr>
        <w:t xml:space="preserve"> mit jenen in anderen nordenglischen Bezirken</w:t>
      </w:r>
      <w:r w:rsidR="003A057D">
        <w:rPr>
          <w:bCs/>
          <w:spacing w:val="-4"/>
          <w:lang w:val="de-CH"/>
        </w:rPr>
        <w:t xml:space="preserve">, wo die Sun weiterhin zirkulierte. Dabei stellten sie fest, </w:t>
      </w:r>
      <w:r w:rsidR="007D76A7">
        <w:rPr>
          <w:bCs/>
          <w:spacing w:val="-4"/>
          <w:lang w:val="de-CH"/>
        </w:rPr>
        <w:t xml:space="preserve">dass </w:t>
      </w:r>
      <w:r w:rsidR="003A057D">
        <w:rPr>
          <w:bCs/>
          <w:spacing w:val="-4"/>
          <w:lang w:val="de-CH"/>
        </w:rPr>
        <w:t xml:space="preserve">die Bevölkerung von </w:t>
      </w:r>
      <w:proofErr w:type="spellStart"/>
      <w:r w:rsidR="003A057D">
        <w:rPr>
          <w:bCs/>
          <w:spacing w:val="-4"/>
          <w:lang w:val="de-CH"/>
        </w:rPr>
        <w:t>Merseyside</w:t>
      </w:r>
      <w:proofErr w:type="spellEnd"/>
      <w:r w:rsidR="003A057D">
        <w:rPr>
          <w:bCs/>
          <w:spacing w:val="-4"/>
          <w:lang w:val="de-CH"/>
        </w:rPr>
        <w:t xml:space="preserve"> aufgrund des Sun-Boykotts deutlich weniger euroskeptisch ist. Dies äusserte sich </w:t>
      </w:r>
      <w:r>
        <w:rPr>
          <w:bCs/>
          <w:spacing w:val="-4"/>
          <w:lang w:val="de-CH"/>
        </w:rPr>
        <w:t xml:space="preserve">sogar </w:t>
      </w:r>
      <w:r w:rsidR="003A057D">
        <w:rPr>
          <w:bCs/>
          <w:spacing w:val="-4"/>
          <w:lang w:val="de-CH"/>
        </w:rPr>
        <w:t xml:space="preserve">in </w:t>
      </w:r>
      <w:r>
        <w:rPr>
          <w:bCs/>
          <w:spacing w:val="-4"/>
          <w:lang w:val="de-CH"/>
        </w:rPr>
        <w:t>eine</w:t>
      </w:r>
      <w:r w:rsidR="003A057D">
        <w:rPr>
          <w:bCs/>
          <w:spacing w:val="-4"/>
          <w:lang w:val="de-CH"/>
        </w:rPr>
        <w:t>m</w:t>
      </w:r>
      <w:r>
        <w:rPr>
          <w:bCs/>
          <w:spacing w:val="-4"/>
          <w:lang w:val="de-CH"/>
        </w:rPr>
        <w:t xml:space="preserve"> </w:t>
      </w:r>
      <w:r w:rsidR="00FD6A25">
        <w:rPr>
          <w:bCs/>
          <w:spacing w:val="-4"/>
          <w:lang w:val="de-CH"/>
        </w:rPr>
        <w:t>tieferen</w:t>
      </w:r>
      <w:r w:rsidR="00854499">
        <w:rPr>
          <w:bCs/>
          <w:spacing w:val="-4"/>
          <w:lang w:val="de-CH"/>
        </w:rPr>
        <w:t xml:space="preserve"> Ja-Anteil bei der Brexit-Abstimmung 2016. Besonders stark </w:t>
      </w:r>
      <w:r w:rsidR="00FD6A25">
        <w:rPr>
          <w:bCs/>
          <w:spacing w:val="-4"/>
          <w:lang w:val="de-CH"/>
        </w:rPr>
        <w:t>ist der Effekt des Sun-Boykotts</w:t>
      </w:r>
      <w:r w:rsidR="00854499">
        <w:rPr>
          <w:bCs/>
          <w:spacing w:val="-4"/>
          <w:lang w:val="de-CH"/>
        </w:rPr>
        <w:t xml:space="preserve"> </w:t>
      </w:r>
      <w:r w:rsidR="00027048">
        <w:rPr>
          <w:bCs/>
          <w:spacing w:val="-4"/>
          <w:lang w:val="de-CH"/>
        </w:rPr>
        <w:t xml:space="preserve">bei Personen mit tiefem Bildungsniveau sowie bei jenen, </w:t>
      </w:r>
      <w:r w:rsidR="00854499">
        <w:rPr>
          <w:bCs/>
          <w:spacing w:val="-4"/>
          <w:lang w:val="de-CH"/>
        </w:rPr>
        <w:t xml:space="preserve">die </w:t>
      </w:r>
      <w:r w:rsidR="00487D3F">
        <w:rPr>
          <w:bCs/>
          <w:spacing w:val="-4"/>
          <w:lang w:val="de-CH"/>
        </w:rPr>
        <w:t>zu Beginn des Boykotts jünger als 17 Jahre waren</w:t>
      </w:r>
      <w:r w:rsidR="00FD6A25">
        <w:rPr>
          <w:bCs/>
          <w:spacing w:val="-4"/>
          <w:lang w:val="de-CH"/>
        </w:rPr>
        <w:t xml:space="preserve">: Erstere </w:t>
      </w:r>
      <w:r w:rsidR="00555BBE">
        <w:rPr>
          <w:bCs/>
          <w:spacing w:val="-4"/>
          <w:lang w:val="de-CH"/>
        </w:rPr>
        <w:t xml:space="preserve">bilden die traditionelle Stammleserschaft der Sun, letztere befanden sich in einem Alter, in dem sich gewöhnlicherweise stabile politische Einstellungen formen. </w:t>
      </w:r>
      <w:r w:rsidR="00487D3F">
        <w:rPr>
          <w:bCs/>
          <w:spacing w:val="-4"/>
          <w:lang w:val="de-CH"/>
        </w:rPr>
        <w:t xml:space="preserve"> </w:t>
      </w:r>
    </w:p>
    <w:p w14:paraId="6282336B" w14:textId="77777777" w:rsidR="00850224" w:rsidRDefault="00850224" w:rsidP="007D60A7">
      <w:pPr>
        <w:spacing w:before="1" w:line="276" w:lineRule="auto"/>
        <w:rPr>
          <w:bCs/>
          <w:spacing w:val="-4"/>
          <w:lang w:val="de-CH"/>
        </w:rPr>
      </w:pPr>
    </w:p>
    <w:p w14:paraId="4DA1918F" w14:textId="4E103D64" w:rsidR="00FF5A0A" w:rsidRDefault="00FF5A0A" w:rsidP="007D60A7">
      <w:pPr>
        <w:spacing w:before="1" w:line="276" w:lineRule="auto"/>
        <w:rPr>
          <w:bCs/>
          <w:spacing w:val="-4"/>
          <w:lang w:val="de-CH"/>
        </w:rPr>
      </w:pPr>
      <w:r>
        <w:rPr>
          <w:bCs/>
          <w:spacing w:val="-4"/>
          <w:lang w:val="de-CH"/>
        </w:rPr>
        <w:t xml:space="preserve">Die </w:t>
      </w:r>
      <w:r w:rsidR="00850224">
        <w:rPr>
          <w:bCs/>
          <w:spacing w:val="-4"/>
          <w:lang w:val="de-CH"/>
        </w:rPr>
        <w:t xml:space="preserve">prämierte </w:t>
      </w:r>
      <w:r>
        <w:rPr>
          <w:bCs/>
          <w:spacing w:val="-4"/>
          <w:lang w:val="de-CH"/>
        </w:rPr>
        <w:t xml:space="preserve">Studie reiht sich </w:t>
      </w:r>
      <w:r w:rsidR="00484091">
        <w:rPr>
          <w:bCs/>
          <w:spacing w:val="-4"/>
          <w:lang w:val="de-CH"/>
        </w:rPr>
        <w:t xml:space="preserve">ein </w:t>
      </w:r>
      <w:r>
        <w:rPr>
          <w:bCs/>
          <w:spacing w:val="-4"/>
          <w:lang w:val="de-CH"/>
        </w:rPr>
        <w:t xml:space="preserve">in die Diskussion über die Wirkungskraft von Medien </w:t>
      </w:r>
      <w:r w:rsidR="00080138">
        <w:rPr>
          <w:bCs/>
          <w:spacing w:val="-4"/>
          <w:lang w:val="de-CH"/>
        </w:rPr>
        <w:t>und ihre Bedeutung für Demokratien</w:t>
      </w:r>
      <w:r>
        <w:rPr>
          <w:bCs/>
          <w:spacing w:val="-4"/>
          <w:lang w:val="de-CH"/>
        </w:rPr>
        <w:t>.</w:t>
      </w:r>
      <w:r w:rsidR="00080138">
        <w:rPr>
          <w:bCs/>
          <w:spacing w:val="-4"/>
          <w:lang w:val="de-CH"/>
        </w:rPr>
        <w:t xml:space="preserve"> Im letzten Jahrzehnt zeigten verschiedene Untersuchungen, dass </w:t>
      </w:r>
      <w:r w:rsidR="00080138">
        <w:rPr>
          <w:bCs/>
          <w:spacing w:val="-4"/>
          <w:lang w:val="de-CH"/>
        </w:rPr>
        <w:lastRenderedPageBreak/>
        <w:t>Medienberichte politische Einstellungen kurzfristig kaum beeinflussen.</w:t>
      </w:r>
      <w:r w:rsidR="00487D3F">
        <w:rPr>
          <w:bCs/>
          <w:spacing w:val="-4"/>
          <w:lang w:val="de-CH"/>
        </w:rPr>
        <w:t xml:space="preserve"> </w:t>
      </w:r>
      <w:r w:rsidR="0044730D">
        <w:rPr>
          <w:bCs/>
          <w:spacing w:val="-4"/>
          <w:lang w:val="de-CH"/>
        </w:rPr>
        <w:t>Daniel Bischof und Florian Foos</w:t>
      </w:r>
      <w:r w:rsidR="003B6613">
        <w:rPr>
          <w:bCs/>
          <w:spacing w:val="-4"/>
          <w:lang w:val="de-CH"/>
        </w:rPr>
        <w:t xml:space="preserve"> gelingt es nachzuweisen, dass </w:t>
      </w:r>
      <w:r w:rsidR="003B6613" w:rsidRPr="00555BBE">
        <w:rPr>
          <w:bCs/>
          <w:spacing w:val="-4"/>
          <w:lang w:val="de-CH"/>
        </w:rPr>
        <w:t>langfristige</w:t>
      </w:r>
      <w:r w:rsidR="003B6613">
        <w:rPr>
          <w:bCs/>
          <w:spacing w:val="-4"/>
          <w:lang w:val="de-CH"/>
        </w:rPr>
        <w:t xml:space="preserve"> Medienkampagnen durchaus eine Wirkung auf die politische Einstellung haben können – besonders bei Themen, zu denen die Meinungen noch nicht </w:t>
      </w:r>
      <w:r w:rsidR="00484091">
        <w:rPr>
          <w:bCs/>
          <w:spacing w:val="-4"/>
          <w:lang w:val="de-CH"/>
        </w:rPr>
        <w:t>ge</w:t>
      </w:r>
      <w:r w:rsidR="003A057D">
        <w:rPr>
          <w:bCs/>
          <w:spacing w:val="-4"/>
          <w:lang w:val="de-CH"/>
        </w:rPr>
        <w:t>festigt</w:t>
      </w:r>
      <w:r w:rsidR="003B6613">
        <w:rPr>
          <w:bCs/>
          <w:spacing w:val="-4"/>
          <w:lang w:val="de-CH"/>
        </w:rPr>
        <w:t xml:space="preserve"> sind</w:t>
      </w:r>
      <w:r w:rsidR="003A057D">
        <w:rPr>
          <w:bCs/>
          <w:spacing w:val="-4"/>
          <w:lang w:val="de-CH"/>
        </w:rPr>
        <w:t>.</w:t>
      </w:r>
    </w:p>
    <w:p w14:paraId="66840CE6" w14:textId="77777777" w:rsidR="009D38C3" w:rsidRPr="00D5153F" w:rsidRDefault="009D38C3" w:rsidP="007D60A7">
      <w:pPr>
        <w:pStyle w:val="Textkrper"/>
        <w:spacing w:before="3" w:line="276" w:lineRule="auto"/>
        <w:rPr>
          <w:sz w:val="24"/>
          <w:lang w:val="de-CH"/>
        </w:rPr>
      </w:pPr>
    </w:p>
    <w:p w14:paraId="72EFC42B" w14:textId="376999FA" w:rsidR="009D38C3" w:rsidRDefault="001C1A7E" w:rsidP="007D60A7">
      <w:pPr>
        <w:pStyle w:val="berschrift1"/>
        <w:spacing w:line="276" w:lineRule="auto"/>
        <w:rPr>
          <w:spacing w:val="-2"/>
          <w:lang w:val="de-CH"/>
        </w:rPr>
      </w:pPr>
      <w:r w:rsidRPr="00D5153F">
        <w:rPr>
          <w:spacing w:val="-2"/>
          <w:lang w:val="de-CH"/>
        </w:rPr>
        <w:t>Silber</w:t>
      </w:r>
      <w:r w:rsidR="00C57B68">
        <w:rPr>
          <w:spacing w:val="-2"/>
          <w:lang w:val="de-CH"/>
        </w:rPr>
        <w:t xml:space="preserve">: Das </w:t>
      </w:r>
      <w:r w:rsidR="0054346C">
        <w:rPr>
          <w:spacing w:val="-2"/>
          <w:lang w:val="de-CH"/>
        </w:rPr>
        <w:t xml:space="preserve">sowjetische </w:t>
      </w:r>
      <w:r w:rsidR="00C57B68">
        <w:rPr>
          <w:spacing w:val="-2"/>
          <w:lang w:val="de-CH"/>
        </w:rPr>
        <w:t xml:space="preserve">Verständnis </w:t>
      </w:r>
      <w:proofErr w:type="gramStart"/>
      <w:r w:rsidR="00C57B68">
        <w:rPr>
          <w:spacing w:val="-2"/>
          <w:lang w:val="de-CH"/>
        </w:rPr>
        <w:t>von Mensch</w:t>
      </w:r>
      <w:proofErr w:type="gramEnd"/>
      <w:r w:rsidR="00C57B68">
        <w:rPr>
          <w:spacing w:val="-2"/>
          <w:lang w:val="de-CH"/>
        </w:rPr>
        <w:t xml:space="preserve"> und Umwelt in der </w:t>
      </w:r>
      <w:r w:rsidR="0054346C">
        <w:rPr>
          <w:spacing w:val="-2"/>
          <w:lang w:val="de-CH"/>
        </w:rPr>
        <w:t>Nachkriegszeit</w:t>
      </w:r>
      <w:r w:rsidR="00C57B68">
        <w:rPr>
          <w:spacing w:val="-2"/>
          <w:lang w:val="de-CH"/>
        </w:rPr>
        <w:t xml:space="preserve"> </w:t>
      </w:r>
    </w:p>
    <w:p w14:paraId="28AF351F" w14:textId="6495A3ED" w:rsidR="00C57B68" w:rsidRDefault="00C57B68" w:rsidP="007D60A7">
      <w:pPr>
        <w:pStyle w:val="berschrift1"/>
        <w:spacing w:line="276" w:lineRule="auto"/>
        <w:rPr>
          <w:spacing w:val="-2"/>
          <w:lang w:val="de-CH"/>
        </w:rPr>
      </w:pPr>
    </w:p>
    <w:p w14:paraId="281B8A22" w14:textId="3AD7DE57" w:rsidR="00850224" w:rsidRDefault="00C51844" w:rsidP="007D60A7">
      <w:pPr>
        <w:pStyle w:val="berschrift1"/>
        <w:spacing w:line="276" w:lineRule="auto"/>
        <w:rPr>
          <w:b w:val="0"/>
          <w:bCs w:val="0"/>
          <w:spacing w:val="-2"/>
          <w:lang w:val="de-CH"/>
        </w:rPr>
      </w:pPr>
      <w:r>
        <w:rPr>
          <w:b w:val="0"/>
          <w:bCs w:val="0"/>
          <w:spacing w:val="-2"/>
          <w:lang w:val="de-CH"/>
        </w:rPr>
        <w:t xml:space="preserve">1946 </w:t>
      </w:r>
      <w:r w:rsidR="00C57B68">
        <w:rPr>
          <w:b w:val="0"/>
          <w:bCs w:val="0"/>
          <w:spacing w:val="-2"/>
          <w:lang w:val="de-CH"/>
        </w:rPr>
        <w:t xml:space="preserve">eröffnete das </w:t>
      </w:r>
      <w:r w:rsidR="00125369">
        <w:rPr>
          <w:b w:val="0"/>
          <w:bCs w:val="0"/>
          <w:spacing w:val="-2"/>
          <w:lang w:val="de-CH"/>
        </w:rPr>
        <w:t>Regionalm</w:t>
      </w:r>
      <w:r w:rsidR="00C57B68">
        <w:rPr>
          <w:b w:val="0"/>
          <w:bCs w:val="0"/>
          <w:spacing w:val="-2"/>
          <w:lang w:val="de-CH"/>
        </w:rPr>
        <w:t xml:space="preserve">useum </w:t>
      </w:r>
      <w:r w:rsidR="00335250">
        <w:rPr>
          <w:b w:val="0"/>
          <w:bCs w:val="0"/>
          <w:spacing w:val="-2"/>
          <w:lang w:val="de-CH"/>
        </w:rPr>
        <w:t>in</w:t>
      </w:r>
      <w:r w:rsidR="00C57B68">
        <w:rPr>
          <w:b w:val="0"/>
          <w:bCs w:val="0"/>
          <w:spacing w:val="-2"/>
          <w:lang w:val="de-CH"/>
        </w:rPr>
        <w:t xml:space="preserve"> </w:t>
      </w:r>
      <w:r w:rsidR="00554037" w:rsidRPr="00554037">
        <w:rPr>
          <w:b w:val="0"/>
          <w:bCs w:val="0"/>
          <w:spacing w:val="-2"/>
          <w:lang w:val="de-CH"/>
        </w:rPr>
        <w:t>Tscheljabinsk</w:t>
      </w:r>
      <w:r w:rsidR="00554037">
        <w:rPr>
          <w:b w:val="0"/>
          <w:bCs w:val="0"/>
          <w:spacing w:val="-2"/>
          <w:lang w:val="de-CH"/>
        </w:rPr>
        <w:t xml:space="preserve"> </w:t>
      </w:r>
      <w:r w:rsidR="006B7D50">
        <w:rPr>
          <w:b w:val="0"/>
          <w:bCs w:val="0"/>
          <w:spacing w:val="-2"/>
          <w:lang w:val="de-CH"/>
        </w:rPr>
        <w:t>eine Ausstellung</w:t>
      </w:r>
      <w:r>
        <w:rPr>
          <w:b w:val="0"/>
          <w:bCs w:val="0"/>
          <w:spacing w:val="-2"/>
          <w:lang w:val="de-CH"/>
        </w:rPr>
        <w:t xml:space="preserve"> </w:t>
      </w:r>
      <w:r w:rsidR="003F3E35">
        <w:rPr>
          <w:b w:val="0"/>
          <w:bCs w:val="0"/>
          <w:spacing w:val="-2"/>
          <w:lang w:val="de-CH"/>
        </w:rPr>
        <w:t>zu</w:t>
      </w:r>
      <w:r w:rsidR="003B4E6D">
        <w:rPr>
          <w:b w:val="0"/>
          <w:bCs w:val="0"/>
          <w:spacing w:val="-2"/>
          <w:lang w:val="de-CH"/>
        </w:rPr>
        <w:t>r Rolle der Sowjetunion</w:t>
      </w:r>
      <w:r>
        <w:rPr>
          <w:b w:val="0"/>
          <w:bCs w:val="0"/>
          <w:spacing w:val="-2"/>
          <w:lang w:val="de-CH"/>
        </w:rPr>
        <w:t xml:space="preserve"> </w:t>
      </w:r>
      <w:r w:rsidR="003B4E6D">
        <w:rPr>
          <w:b w:val="0"/>
          <w:bCs w:val="0"/>
          <w:spacing w:val="-2"/>
          <w:lang w:val="de-CH"/>
        </w:rPr>
        <w:t xml:space="preserve">im </w:t>
      </w:r>
      <w:r w:rsidR="003F3E35">
        <w:rPr>
          <w:b w:val="0"/>
          <w:bCs w:val="0"/>
          <w:spacing w:val="-2"/>
          <w:lang w:val="de-CH"/>
        </w:rPr>
        <w:t>Z</w:t>
      </w:r>
      <w:r>
        <w:rPr>
          <w:b w:val="0"/>
          <w:bCs w:val="0"/>
          <w:spacing w:val="-2"/>
          <w:lang w:val="de-CH"/>
        </w:rPr>
        <w:t>weiten Weltkrieg</w:t>
      </w:r>
      <w:r w:rsidR="003B4E6D">
        <w:rPr>
          <w:b w:val="0"/>
          <w:bCs w:val="0"/>
          <w:spacing w:val="-2"/>
          <w:lang w:val="de-CH"/>
        </w:rPr>
        <w:t xml:space="preserve">, dem sogenannten «Great </w:t>
      </w:r>
      <w:proofErr w:type="spellStart"/>
      <w:r w:rsidR="003B4E6D">
        <w:rPr>
          <w:b w:val="0"/>
          <w:bCs w:val="0"/>
          <w:spacing w:val="-2"/>
          <w:lang w:val="de-CH"/>
        </w:rPr>
        <w:t>Patriotic</w:t>
      </w:r>
      <w:proofErr w:type="spellEnd"/>
      <w:r w:rsidR="003B4E6D">
        <w:rPr>
          <w:b w:val="0"/>
          <w:bCs w:val="0"/>
          <w:spacing w:val="-2"/>
          <w:lang w:val="de-CH"/>
        </w:rPr>
        <w:t xml:space="preserve"> War»</w:t>
      </w:r>
      <w:r w:rsidR="003F3E35">
        <w:rPr>
          <w:b w:val="0"/>
          <w:bCs w:val="0"/>
          <w:spacing w:val="-2"/>
          <w:lang w:val="de-CH"/>
        </w:rPr>
        <w:t>.</w:t>
      </w:r>
      <w:r w:rsidR="00335250">
        <w:rPr>
          <w:b w:val="0"/>
          <w:bCs w:val="0"/>
          <w:spacing w:val="-2"/>
          <w:lang w:val="de-CH"/>
        </w:rPr>
        <w:t xml:space="preserve"> </w:t>
      </w:r>
      <w:r w:rsidR="000F0A8E">
        <w:rPr>
          <w:b w:val="0"/>
          <w:bCs w:val="0"/>
          <w:spacing w:val="-2"/>
          <w:lang w:val="de-CH"/>
        </w:rPr>
        <w:t>Dabei standen nicht</w:t>
      </w:r>
      <w:r w:rsidR="00B26A45">
        <w:rPr>
          <w:b w:val="0"/>
          <w:bCs w:val="0"/>
          <w:spacing w:val="-2"/>
          <w:lang w:val="de-CH"/>
        </w:rPr>
        <w:t xml:space="preserve"> etwa menschliche Leistungen</w:t>
      </w:r>
      <w:r w:rsidR="000F0A8E">
        <w:rPr>
          <w:b w:val="0"/>
          <w:bCs w:val="0"/>
          <w:spacing w:val="-2"/>
          <w:lang w:val="de-CH"/>
        </w:rPr>
        <w:t xml:space="preserve"> i</w:t>
      </w:r>
      <w:r w:rsidR="00484091">
        <w:rPr>
          <w:b w:val="0"/>
          <w:bCs w:val="0"/>
          <w:spacing w:val="-2"/>
          <w:lang w:val="de-CH"/>
        </w:rPr>
        <w:t>m</w:t>
      </w:r>
      <w:r w:rsidR="000F0A8E">
        <w:rPr>
          <w:b w:val="0"/>
          <w:bCs w:val="0"/>
          <w:spacing w:val="-2"/>
          <w:lang w:val="de-CH"/>
        </w:rPr>
        <w:t xml:space="preserve"> Zentrum,</w:t>
      </w:r>
      <w:r w:rsidR="00B26A45">
        <w:rPr>
          <w:b w:val="0"/>
          <w:bCs w:val="0"/>
          <w:spacing w:val="-2"/>
          <w:lang w:val="de-CH"/>
        </w:rPr>
        <w:t xml:space="preserve"> sondern </w:t>
      </w:r>
      <w:r w:rsidR="00FF649A">
        <w:rPr>
          <w:b w:val="0"/>
          <w:bCs w:val="0"/>
          <w:spacing w:val="-2"/>
          <w:lang w:val="de-CH"/>
        </w:rPr>
        <w:t xml:space="preserve">die </w:t>
      </w:r>
      <w:r w:rsidR="00335250">
        <w:rPr>
          <w:b w:val="0"/>
          <w:bCs w:val="0"/>
          <w:spacing w:val="-2"/>
          <w:lang w:val="de-CH"/>
        </w:rPr>
        <w:t>Bodenschätze de</w:t>
      </w:r>
      <w:r w:rsidR="00B26A45">
        <w:rPr>
          <w:b w:val="0"/>
          <w:bCs w:val="0"/>
          <w:spacing w:val="-2"/>
          <w:lang w:val="de-CH"/>
        </w:rPr>
        <w:t xml:space="preserve">r </w:t>
      </w:r>
      <w:r w:rsidR="00FF649A">
        <w:rPr>
          <w:b w:val="0"/>
          <w:bCs w:val="0"/>
          <w:spacing w:val="-2"/>
          <w:lang w:val="de-CH"/>
        </w:rPr>
        <w:t xml:space="preserve">südlichen </w:t>
      </w:r>
      <w:r w:rsidR="00B26A45">
        <w:rPr>
          <w:b w:val="0"/>
          <w:bCs w:val="0"/>
          <w:spacing w:val="-2"/>
          <w:lang w:val="de-CH"/>
        </w:rPr>
        <w:t>Uralregion</w:t>
      </w:r>
      <w:r w:rsidR="000F0A8E">
        <w:rPr>
          <w:b w:val="0"/>
          <w:bCs w:val="0"/>
          <w:spacing w:val="-2"/>
          <w:lang w:val="de-CH"/>
        </w:rPr>
        <w:t xml:space="preserve">: </w:t>
      </w:r>
      <w:r w:rsidR="00FF649A">
        <w:rPr>
          <w:b w:val="0"/>
          <w:bCs w:val="0"/>
          <w:spacing w:val="-2"/>
          <w:lang w:val="de-CH"/>
        </w:rPr>
        <w:t>Mineralien und Metalle</w:t>
      </w:r>
      <w:r w:rsidR="000F0A8E">
        <w:rPr>
          <w:b w:val="0"/>
          <w:bCs w:val="0"/>
          <w:spacing w:val="-2"/>
          <w:lang w:val="de-CH"/>
        </w:rPr>
        <w:t>, so wurde suggeriert, waren als</w:t>
      </w:r>
      <w:r w:rsidR="00FF649A">
        <w:rPr>
          <w:b w:val="0"/>
          <w:bCs w:val="0"/>
          <w:spacing w:val="-2"/>
          <w:lang w:val="de-CH"/>
        </w:rPr>
        <w:t xml:space="preserve"> kriegsrelevante Objekte</w:t>
      </w:r>
      <w:r w:rsidR="000F0A8E">
        <w:rPr>
          <w:b w:val="0"/>
          <w:bCs w:val="0"/>
          <w:spacing w:val="-2"/>
          <w:lang w:val="de-CH"/>
        </w:rPr>
        <w:t xml:space="preserve"> am sowjetischen Sieg beteiligt</w:t>
      </w:r>
      <w:r w:rsidR="00FF649A">
        <w:rPr>
          <w:b w:val="0"/>
          <w:bCs w:val="0"/>
          <w:spacing w:val="-2"/>
          <w:lang w:val="de-CH"/>
        </w:rPr>
        <w:t xml:space="preserve">. </w:t>
      </w:r>
      <w:r w:rsidR="000F0A8E">
        <w:rPr>
          <w:b w:val="0"/>
          <w:bCs w:val="0"/>
          <w:spacing w:val="-2"/>
          <w:lang w:val="de-CH"/>
        </w:rPr>
        <w:t>Die Ausstellung</w:t>
      </w:r>
      <w:r w:rsidR="00FF649A">
        <w:rPr>
          <w:b w:val="0"/>
          <w:bCs w:val="0"/>
          <w:spacing w:val="-2"/>
          <w:lang w:val="de-CH"/>
        </w:rPr>
        <w:t xml:space="preserve"> spannte den Bogen von der prähistorischen Entstehung </w:t>
      </w:r>
      <w:r w:rsidR="003B4E6D">
        <w:rPr>
          <w:b w:val="0"/>
          <w:bCs w:val="0"/>
          <w:spacing w:val="-2"/>
          <w:lang w:val="de-CH"/>
        </w:rPr>
        <w:t>dieser</w:t>
      </w:r>
      <w:r w:rsidR="00FF649A">
        <w:rPr>
          <w:b w:val="0"/>
          <w:bCs w:val="0"/>
          <w:spacing w:val="-2"/>
          <w:lang w:val="de-CH"/>
        </w:rPr>
        <w:t xml:space="preserve"> Bodenschätze </w:t>
      </w:r>
      <w:r w:rsidR="000F0A8E">
        <w:rPr>
          <w:b w:val="0"/>
          <w:bCs w:val="0"/>
          <w:spacing w:val="-2"/>
          <w:lang w:val="de-CH"/>
        </w:rPr>
        <w:t xml:space="preserve">über ihr </w:t>
      </w:r>
      <w:r w:rsidR="00F541AB">
        <w:rPr>
          <w:b w:val="0"/>
          <w:bCs w:val="0"/>
          <w:spacing w:val="-2"/>
          <w:lang w:val="de-CH"/>
        </w:rPr>
        <w:t xml:space="preserve">zeitgenössisches </w:t>
      </w:r>
      <w:r w:rsidR="000F0A8E">
        <w:rPr>
          <w:b w:val="0"/>
          <w:bCs w:val="0"/>
          <w:spacing w:val="-2"/>
          <w:lang w:val="de-CH"/>
        </w:rPr>
        <w:t xml:space="preserve">Vorkommen in der Region </w:t>
      </w:r>
      <w:r w:rsidR="00FF649A">
        <w:rPr>
          <w:b w:val="0"/>
          <w:bCs w:val="0"/>
          <w:spacing w:val="-2"/>
          <w:lang w:val="de-CH"/>
        </w:rPr>
        <w:t>bis zu</w:t>
      </w:r>
      <w:r w:rsidR="00F541AB">
        <w:rPr>
          <w:b w:val="0"/>
          <w:bCs w:val="0"/>
          <w:spacing w:val="-2"/>
          <w:lang w:val="de-CH"/>
        </w:rPr>
        <w:t xml:space="preserve"> ihrer Bedeutung für den sowjetischen Sieg</w:t>
      </w:r>
      <w:r w:rsidR="00FF649A">
        <w:rPr>
          <w:b w:val="0"/>
          <w:bCs w:val="0"/>
          <w:spacing w:val="-2"/>
          <w:lang w:val="de-CH"/>
        </w:rPr>
        <w:t xml:space="preserve">. </w:t>
      </w:r>
      <w:r w:rsidR="003B4E6D">
        <w:rPr>
          <w:b w:val="0"/>
          <w:bCs w:val="0"/>
          <w:spacing w:val="-2"/>
          <w:lang w:val="de-CH"/>
        </w:rPr>
        <w:t xml:space="preserve">Damit </w:t>
      </w:r>
      <w:r w:rsidR="000F0A8E">
        <w:rPr>
          <w:b w:val="0"/>
          <w:bCs w:val="0"/>
          <w:spacing w:val="-2"/>
          <w:lang w:val="de-CH"/>
        </w:rPr>
        <w:t>verknüpfte sie</w:t>
      </w:r>
      <w:r w:rsidR="003B4E6D">
        <w:rPr>
          <w:b w:val="0"/>
          <w:bCs w:val="0"/>
          <w:spacing w:val="-2"/>
          <w:lang w:val="de-CH"/>
        </w:rPr>
        <w:t xml:space="preserve"> </w:t>
      </w:r>
      <w:r w:rsidR="000F0A8E">
        <w:rPr>
          <w:b w:val="0"/>
          <w:bCs w:val="0"/>
          <w:spacing w:val="-2"/>
          <w:lang w:val="de-CH"/>
        </w:rPr>
        <w:t xml:space="preserve">einerseits geologische mit historischen Entwicklungen, andererseits </w:t>
      </w:r>
      <w:r w:rsidR="003B4E6D">
        <w:rPr>
          <w:b w:val="0"/>
          <w:bCs w:val="0"/>
          <w:spacing w:val="-2"/>
          <w:lang w:val="de-CH"/>
        </w:rPr>
        <w:t xml:space="preserve">die regionale </w:t>
      </w:r>
      <w:r w:rsidR="000F0A8E">
        <w:rPr>
          <w:b w:val="0"/>
          <w:bCs w:val="0"/>
          <w:spacing w:val="-2"/>
          <w:lang w:val="de-CH"/>
        </w:rPr>
        <w:t xml:space="preserve">mit der nationalen Ebene. </w:t>
      </w:r>
    </w:p>
    <w:p w14:paraId="31C7DAB0" w14:textId="645EAE53" w:rsidR="009D38C3" w:rsidRPr="0029750E" w:rsidRDefault="000F0A8E" w:rsidP="007D60A7">
      <w:pPr>
        <w:pStyle w:val="berschrift1"/>
        <w:spacing w:line="276" w:lineRule="auto"/>
        <w:rPr>
          <w:b w:val="0"/>
          <w:bCs w:val="0"/>
          <w:spacing w:val="-2"/>
          <w:lang w:val="de-CH"/>
        </w:rPr>
      </w:pPr>
      <w:r>
        <w:rPr>
          <w:b w:val="0"/>
          <w:bCs w:val="0"/>
          <w:spacing w:val="-2"/>
          <w:lang w:val="de-CH"/>
        </w:rPr>
        <w:br/>
      </w:r>
      <w:r w:rsidR="0044730D">
        <w:rPr>
          <w:b w:val="0"/>
          <w:bCs w:val="0"/>
          <w:spacing w:val="-2"/>
          <w:lang w:val="de-CH"/>
        </w:rPr>
        <w:t>Felix Frey</w:t>
      </w:r>
      <w:r w:rsidR="000C0DEF">
        <w:rPr>
          <w:b w:val="0"/>
          <w:bCs w:val="0"/>
          <w:spacing w:val="-2"/>
          <w:lang w:val="de-CH"/>
        </w:rPr>
        <w:t xml:space="preserve"> und Anne </w:t>
      </w:r>
      <w:r w:rsidR="009F1C17">
        <w:rPr>
          <w:b w:val="0"/>
          <w:bCs w:val="0"/>
          <w:spacing w:val="-2"/>
          <w:lang w:val="de-CH"/>
        </w:rPr>
        <w:t xml:space="preserve">E. </w:t>
      </w:r>
      <w:r w:rsidR="000C0DEF">
        <w:rPr>
          <w:b w:val="0"/>
          <w:bCs w:val="0"/>
          <w:spacing w:val="-2"/>
          <w:lang w:val="de-CH"/>
        </w:rPr>
        <w:t xml:space="preserve">Hasselmann </w:t>
      </w:r>
      <w:r>
        <w:rPr>
          <w:b w:val="0"/>
          <w:bCs w:val="0"/>
          <w:spacing w:val="-2"/>
          <w:lang w:val="de-CH"/>
        </w:rPr>
        <w:t>zeichnen in</w:t>
      </w:r>
      <w:r w:rsidR="003B4E6D">
        <w:rPr>
          <w:b w:val="0"/>
          <w:bCs w:val="0"/>
          <w:spacing w:val="-2"/>
          <w:lang w:val="de-CH"/>
        </w:rPr>
        <w:t xml:space="preserve"> </w:t>
      </w:r>
      <w:r w:rsidR="00877B94">
        <w:rPr>
          <w:b w:val="0"/>
          <w:bCs w:val="0"/>
          <w:spacing w:val="-2"/>
          <w:lang w:val="de-CH"/>
        </w:rPr>
        <w:t>ihrer historischen Analyse</w:t>
      </w:r>
      <w:r w:rsidR="003B4E6D">
        <w:rPr>
          <w:b w:val="0"/>
          <w:bCs w:val="0"/>
          <w:spacing w:val="-2"/>
          <w:lang w:val="de-CH"/>
        </w:rPr>
        <w:t xml:space="preserve"> </w:t>
      </w:r>
      <w:r w:rsidR="00CF0BF7">
        <w:rPr>
          <w:b w:val="0"/>
          <w:bCs w:val="0"/>
          <w:spacing w:val="-2"/>
          <w:lang w:val="de-CH"/>
        </w:rPr>
        <w:t xml:space="preserve">eindrücklich </w:t>
      </w:r>
      <w:r w:rsidR="003B4E6D">
        <w:rPr>
          <w:b w:val="0"/>
          <w:bCs w:val="0"/>
          <w:spacing w:val="-2"/>
          <w:lang w:val="de-CH"/>
        </w:rPr>
        <w:t xml:space="preserve">nach, </w:t>
      </w:r>
      <w:r>
        <w:rPr>
          <w:b w:val="0"/>
          <w:bCs w:val="0"/>
          <w:spacing w:val="-2"/>
          <w:lang w:val="de-CH"/>
        </w:rPr>
        <w:t xml:space="preserve">wie sich die Ausstellung in </w:t>
      </w:r>
      <w:r w:rsidR="00554037" w:rsidRPr="00554037">
        <w:rPr>
          <w:b w:val="0"/>
          <w:bCs w:val="0"/>
          <w:spacing w:val="-2"/>
          <w:lang w:val="de-DE"/>
        </w:rPr>
        <w:t>Tscheljabinsk</w:t>
      </w:r>
      <w:r w:rsidR="00554037">
        <w:rPr>
          <w:b w:val="0"/>
          <w:bCs w:val="0"/>
          <w:spacing w:val="-2"/>
          <w:lang w:val="de-DE"/>
        </w:rPr>
        <w:t xml:space="preserve"> </w:t>
      </w:r>
      <w:r w:rsidR="0029750E">
        <w:rPr>
          <w:b w:val="0"/>
          <w:bCs w:val="0"/>
          <w:spacing w:val="-2"/>
          <w:lang w:val="de-CH"/>
        </w:rPr>
        <w:t>sowohl</w:t>
      </w:r>
      <w:r>
        <w:rPr>
          <w:b w:val="0"/>
          <w:bCs w:val="0"/>
          <w:spacing w:val="-2"/>
          <w:lang w:val="de-CH"/>
        </w:rPr>
        <w:t xml:space="preserve"> in das internationale </w:t>
      </w:r>
      <w:r w:rsidR="0029750E">
        <w:rPr>
          <w:b w:val="0"/>
          <w:bCs w:val="0"/>
          <w:spacing w:val="-2"/>
          <w:lang w:val="de-CH"/>
        </w:rPr>
        <w:t>wie auch ins</w:t>
      </w:r>
      <w:r w:rsidR="00CF0BF7">
        <w:rPr>
          <w:b w:val="0"/>
          <w:bCs w:val="0"/>
          <w:spacing w:val="-2"/>
          <w:lang w:val="de-CH"/>
        </w:rPr>
        <w:t xml:space="preserve"> spezifisch sowjetische Verständnis </w:t>
      </w:r>
      <w:proofErr w:type="gramStart"/>
      <w:r w:rsidR="00CF0BF7">
        <w:rPr>
          <w:b w:val="0"/>
          <w:bCs w:val="0"/>
          <w:spacing w:val="-2"/>
          <w:lang w:val="de-CH"/>
        </w:rPr>
        <w:t>von Mensch</w:t>
      </w:r>
      <w:proofErr w:type="gramEnd"/>
      <w:r w:rsidR="00CF0BF7">
        <w:rPr>
          <w:b w:val="0"/>
          <w:bCs w:val="0"/>
          <w:spacing w:val="-2"/>
          <w:lang w:val="de-CH"/>
        </w:rPr>
        <w:t xml:space="preserve"> und Umwelt einordnete: Indem sie den Bodenschätzen die Hauptrolle gab, zeigte sie auf, wie Umweltfaktoren menschliches Handeln gleichzeitig ermöglichen und beschränken. </w:t>
      </w:r>
      <w:r w:rsidR="00E81CCF">
        <w:rPr>
          <w:b w:val="0"/>
          <w:bCs w:val="0"/>
          <w:spacing w:val="-2"/>
          <w:lang w:val="de-CH"/>
        </w:rPr>
        <w:t>Dies entsprach einem damals international verbreiteten Verständnis in den Geowissenschaften.</w:t>
      </w:r>
      <w:r w:rsidR="0029750E">
        <w:rPr>
          <w:b w:val="0"/>
          <w:bCs w:val="0"/>
          <w:spacing w:val="-2"/>
          <w:lang w:val="de-CH"/>
        </w:rPr>
        <w:t xml:space="preserve"> Zugleich betonte die Ausstellung, dass erst der «neue sowjetische Mensch» die Bodenschätze aus ihrem Schlummer geweckt und ihnen einen Nutzen verliehen habe</w:t>
      </w:r>
      <w:r w:rsidR="00F541AB">
        <w:rPr>
          <w:b w:val="0"/>
          <w:bCs w:val="0"/>
          <w:spacing w:val="-2"/>
          <w:lang w:val="de-CH"/>
        </w:rPr>
        <w:t xml:space="preserve">. So schrieb sie dem Menschen die dominierende Rolle im Spiel mit der Natur zu und entsprach dem geforderten patriotischen Narrativ. </w:t>
      </w:r>
    </w:p>
    <w:p w14:paraId="5C233670" w14:textId="77777777" w:rsidR="009D38C3" w:rsidRPr="003F3E35" w:rsidRDefault="009D38C3" w:rsidP="007D60A7">
      <w:pPr>
        <w:pStyle w:val="Textkrper"/>
        <w:spacing w:before="2" w:line="276" w:lineRule="auto"/>
        <w:rPr>
          <w:rFonts w:ascii="Arial"/>
          <w:lang w:val="de-CH"/>
        </w:rPr>
      </w:pPr>
    </w:p>
    <w:p w14:paraId="4DEC6038" w14:textId="34397053" w:rsidR="009D38C3" w:rsidRDefault="001C1A7E" w:rsidP="007D60A7">
      <w:pPr>
        <w:spacing w:before="59" w:line="276" w:lineRule="auto"/>
        <w:rPr>
          <w:b/>
          <w:color w:val="131413"/>
          <w:spacing w:val="-2"/>
          <w:lang w:val="de-CH"/>
        </w:rPr>
      </w:pPr>
      <w:r w:rsidRPr="00D5153F">
        <w:rPr>
          <w:b/>
          <w:color w:val="131413"/>
          <w:spacing w:val="-2"/>
          <w:lang w:val="de-CH"/>
        </w:rPr>
        <w:t>Bronze</w:t>
      </w:r>
      <w:r w:rsidR="00C57B68">
        <w:rPr>
          <w:b/>
          <w:color w:val="131413"/>
          <w:spacing w:val="-2"/>
          <w:lang w:val="de-CH"/>
        </w:rPr>
        <w:t xml:space="preserve">: </w:t>
      </w:r>
      <w:r w:rsidR="0054346C">
        <w:rPr>
          <w:b/>
          <w:color w:val="131413"/>
          <w:spacing w:val="-2"/>
          <w:lang w:val="de-CH"/>
        </w:rPr>
        <w:t>Motorische Fähigkeiten und mathematische Leistung im Vorschulalter</w:t>
      </w:r>
    </w:p>
    <w:p w14:paraId="6E38FE8B" w14:textId="69D1D4C9" w:rsidR="008A38ED" w:rsidRDefault="00D158CD" w:rsidP="007D60A7">
      <w:pPr>
        <w:spacing w:before="59" w:line="276" w:lineRule="auto"/>
        <w:rPr>
          <w:bCs/>
          <w:color w:val="131413"/>
          <w:spacing w:val="-2"/>
          <w:lang w:val="de-CH"/>
        </w:rPr>
      </w:pPr>
      <w:r>
        <w:rPr>
          <w:bCs/>
          <w:color w:val="131413"/>
          <w:spacing w:val="-2"/>
          <w:lang w:val="de-CH"/>
        </w:rPr>
        <w:t>Was müssen Kinder</w:t>
      </w:r>
      <w:r w:rsidR="0054346C">
        <w:rPr>
          <w:bCs/>
          <w:color w:val="131413"/>
          <w:spacing w:val="-2"/>
          <w:lang w:val="de-CH"/>
        </w:rPr>
        <w:t xml:space="preserve"> im </w:t>
      </w:r>
      <w:r w:rsidR="00133E58">
        <w:rPr>
          <w:bCs/>
          <w:color w:val="131413"/>
          <w:spacing w:val="-2"/>
          <w:lang w:val="de-CH"/>
        </w:rPr>
        <w:t>Vorschulalter</w:t>
      </w:r>
      <w:r w:rsidR="0054346C">
        <w:rPr>
          <w:bCs/>
          <w:color w:val="131413"/>
          <w:spacing w:val="-2"/>
          <w:lang w:val="de-CH"/>
        </w:rPr>
        <w:t xml:space="preserve"> </w:t>
      </w:r>
      <w:r>
        <w:rPr>
          <w:bCs/>
          <w:color w:val="131413"/>
          <w:spacing w:val="-2"/>
          <w:lang w:val="de-CH"/>
        </w:rPr>
        <w:t>lernen, um</w:t>
      </w:r>
      <w:r w:rsidR="0054346C">
        <w:rPr>
          <w:bCs/>
          <w:color w:val="131413"/>
          <w:spacing w:val="-2"/>
          <w:lang w:val="de-CH"/>
        </w:rPr>
        <w:t xml:space="preserve"> akademischen Erfolg</w:t>
      </w:r>
      <w:r>
        <w:rPr>
          <w:bCs/>
          <w:color w:val="131413"/>
          <w:spacing w:val="-2"/>
          <w:lang w:val="de-CH"/>
        </w:rPr>
        <w:t xml:space="preserve"> zu haben</w:t>
      </w:r>
      <w:r w:rsidR="0054346C">
        <w:rPr>
          <w:bCs/>
          <w:color w:val="131413"/>
          <w:spacing w:val="-2"/>
          <w:lang w:val="de-CH"/>
        </w:rPr>
        <w:t xml:space="preserve">? </w:t>
      </w:r>
      <w:r>
        <w:rPr>
          <w:bCs/>
          <w:color w:val="131413"/>
          <w:spacing w:val="-2"/>
          <w:lang w:val="de-CH"/>
        </w:rPr>
        <w:t>Mit dieser</w:t>
      </w:r>
      <w:r w:rsidR="00A04219">
        <w:rPr>
          <w:bCs/>
          <w:color w:val="131413"/>
          <w:spacing w:val="-2"/>
          <w:lang w:val="de-CH"/>
        </w:rPr>
        <w:t xml:space="preserve"> Frage </w:t>
      </w:r>
      <w:r>
        <w:rPr>
          <w:bCs/>
          <w:color w:val="131413"/>
          <w:spacing w:val="-2"/>
          <w:lang w:val="de-CH"/>
        </w:rPr>
        <w:t xml:space="preserve">befassen sich die </w:t>
      </w:r>
      <w:r w:rsidR="0044730D">
        <w:rPr>
          <w:bCs/>
          <w:color w:val="131413"/>
          <w:spacing w:val="-2"/>
          <w:lang w:val="de-CH"/>
        </w:rPr>
        <w:t>Psychologin</w:t>
      </w:r>
      <w:r w:rsidR="00A04219">
        <w:rPr>
          <w:bCs/>
          <w:color w:val="131413"/>
          <w:spacing w:val="-2"/>
          <w:lang w:val="de-CH"/>
        </w:rPr>
        <w:t xml:space="preserve"> </w:t>
      </w:r>
      <w:r w:rsidR="00F97929">
        <w:rPr>
          <w:bCs/>
          <w:color w:val="131413"/>
          <w:spacing w:val="-2"/>
          <w:lang w:val="de-CH"/>
        </w:rPr>
        <w:t>Thalia Cavadini</w:t>
      </w:r>
      <w:r w:rsidR="00A04219">
        <w:rPr>
          <w:bCs/>
          <w:color w:val="131413"/>
          <w:spacing w:val="-2"/>
          <w:lang w:val="de-CH"/>
        </w:rPr>
        <w:t xml:space="preserve"> </w:t>
      </w:r>
      <w:r w:rsidR="00F97929">
        <w:rPr>
          <w:bCs/>
          <w:color w:val="131413"/>
          <w:spacing w:val="-2"/>
          <w:lang w:val="de-CH"/>
        </w:rPr>
        <w:t xml:space="preserve">und </w:t>
      </w:r>
      <w:r>
        <w:rPr>
          <w:bCs/>
          <w:color w:val="131413"/>
          <w:spacing w:val="-2"/>
          <w:lang w:val="de-CH"/>
        </w:rPr>
        <w:t>ihre Forschungsk</w:t>
      </w:r>
      <w:r w:rsidR="00F97929">
        <w:rPr>
          <w:bCs/>
          <w:color w:val="131413"/>
          <w:spacing w:val="-2"/>
          <w:lang w:val="de-CH"/>
        </w:rPr>
        <w:t xml:space="preserve">ollegen </w:t>
      </w:r>
      <w:r>
        <w:rPr>
          <w:bCs/>
          <w:color w:val="131413"/>
          <w:spacing w:val="-2"/>
          <w:lang w:val="de-CH"/>
        </w:rPr>
        <w:t>im prämierten Artikel</w:t>
      </w:r>
      <w:r w:rsidR="00A04219">
        <w:rPr>
          <w:bCs/>
          <w:color w:val="131413"/>
          <w:spacing w:val="-2"/>
          <w:lang w:val="de-CH"/>
        </w:rPr>
        <w:t xml:space="preserve">. </w:t>
      </w:r>
      <w:r w:rsidR="00BA0B3E">
        <w:rPr>
          <w:bCs/>
          <w:color w:val="131413"/>
          <w:spacing w:val="-2"/>
          <w:lang w:val="de-CH"/>
        </w:rPr>
        <w:t>Zusammen mit</w:t>
      </w:r>
      <w:r>
        <w:rPr>
          <w:bCs/>
          <w:color w:val="131413"/>
          <w:spacing w:val="-2"/>
          <w:lang w:val="de-CH"/>
        </w:rPr>
        <w:t xml:space="preserve"> den</w:t>
      </w:r>
      <w:r w:rsidR="00BA0B3E">
        <w:rPr>
          <w:bCs/>
          <w:color w:val="131413"/>
          <w:spacing w:val="-2"/>
          <w:lang w:val="de-CH"/>
        </w:rPr>
        <w:t xml:space="preserve"> Lehrpersonen </w:t>
      </w:r>
      <w:r>
        <w:rPr>
          <w:bCs/>
          <w:color w:val="131413"/>
          <w:spacing w:val="-2"/>
          <w:lang w:val="de-CH"/>
        </w:rPr>
        <w:t>beurteilten</w:t>
      </w:r>
      <w:r w:rsidR="00BA0B3E">
        <w:rPr>
          <w:bCs/>
          <w:color w:val="131413"/>
          <w:spacing w:val="-2"/>
          <w:lang w:val="de-CH"/>
        </w:rPr>
        <w:t xml:space="preserve"> </w:t>
      </w:r>
      <w:r>
        <w:rPr>
          <w:bCs/>
          <w:color w:val="131413"/>
          <w:spacing w:val="-2"/>
          <w:lang w:val="de-CH"/>
        </w:rPr>
        <w:t>sie</w:t>
      </w:r>
      <w:r w:rsidR="00BA0B3E">
        <w:rPr>
          <w:bCs/>
          <w:color w:val="131413"/>
          <w:spacing w:val="-2"/>
          <w:lang w:val="de-CH"/>
        </w:rPr>
        <w:t xml:space="preserve"> </w:t>
      </w:r>
      <w:r w:rsidR="00CD15AC">
        <w:rPr>
          <w:bCs/>
          <w:color w:val="131413"/>
          <w:spacing w:val="-2"/>
          <w:lang w:val="de-CH"/>
        </w:rPr>
        <w:t xml:space="preserve">die </w:t>
      </w:r>
      <w:r w:rsidR="00DB5B00">
        <w:rPr>
          <w:bCs/>
          <w:color w:val="131413"/>
          <w:spacing w:val="-2"/>
          <w:lang w:val="de-CH"/>
        </w:rPr>
        <w:t>emotionale</w:t>
      </w:r>
      <w:r w:rsidR="00CD15AC">
        <w:rPr>
          <w:bCs/>
          <w:color w:val="131413"/>
          <w:spacing w:val="-2"/>
          <w:lang w:val="de-CH"/>
        </w:rPr>
        <w:t xml:space="preserve">n, </w:t>
      </w:r>
      <w:r w:rsidR="00DB5B00">
        <w:rPr>
          <w:bCs/>
          <w:color w:val="131413"/>
          <w:spacing w:val="-2"/>
          <w:lang w:val="de-CH"/>
        </w:rPr>
        <w:t>soziale</w:t>
      </w:r>
      <w:r w:rsidR="00CD15AC">
        <w:rPr>
          <w:bCs/>
          <w:color w:val="131413"/>
          <w:spacing w:val="-2"/>
          <w:lang w:val="de-CH"/>
        </w:rPr>
        <w:t>n</w:t>
      </w:r>
      <w:r w:rsidR="00DB5B00">
        <w:rPr>
          <w:bCs/>
          <w:color w:val="131413"/>
          <w:spacing w:val="-2"/>
          <w:lang w:val="de-CH"/>
        </w:rPr>
        <w:t xml:space="preserve"> </w:t>
      </w:r>
      <w:r w:rsidR="00CD15AC">
        <w:rPr>
          <w:bCs/>
          <w:color w:val="131413"/>
          <w:spacing w:val="-2"/>
          <w:lang w:val="de-CH"/>
        </w:rPr>
        <w:t xml:space="preserve">und motorischen Fähigkeiten </w:t>
      </w:r>
      <w:r>
        <w:rPr>
          <w:bCs/>
          <w:color w:val="131413"/>
          <w:spacing w:val="-2"/>
          <w:lang w:val="de-CH"/>
        </w:rPr>
        <w:t>sowie die mathematische Leistung</w:t>
      </w:r>
      <w:r w:rsidR="00EC7EE1">
        <w:rPr>
          <w:bCs/>
          <w:color w:val="131413"/>
          <w:spacing w:val="-2"/>
          <w:lang w:val="de-CH"/>
        </w:rPr>
        <w:t xml:space="preserve"> von 706 Kindern im Alter von drei bis sechs Jahren</w:t>
      </w:r>
      <w:r>
        <w:rPr>
          <w:bCs/>
          <w:color w:val="131413"/>
          <w:spacing w:val="-2"/>
          <w:lang w:val="de-CH"/>
        </w:rPr>
        <w:t xml:space="preserve">. </w:t>
      </w:r>
      <w:r w:rsidR="00BA0B3E">
        <w:rPr>
          <w:bCs/>
          <w:color w:val="131413"/>
          <w:spacing w:val="-2"/>
          <w:lang w:val="de-CH"/>
        </w:rPr>
        <w:t>Die Auswertung zeigt</w:t>
      </w:r>
      <w:r w:rsidR="00A04219">
        <w:rPr>
          <w:bCs/>
          <w:color w:val="131413"/>
          <w:spacing w:val="-2"/>
          <w:lang w:val="de-CH"/>
        </w:rPr>
        <w:t>:</w:t>
      </w:r>
      <w:r w:rsidR="008A38ED">
        <w:rPr>
          <w:bCs/>
          <w:color w:val="131413"/>
          <w:spacing w:val="-2"/>
          <w:lang w:val="de-CH"/>
        </w:rPr>
        <w:t xml:space="preserve"> </w:t>
      </w:r>
      <w:r w:rsidR="00CD15AC">
        <w:rPr>
          <w:bCs/>
          <w:color w:val="131413"/>
          <w:spacing w:val="-2"/>
          <w:lang w:val="de-CH"/>
        </w:rPr>
        <w:t xml:space="preserve">Die </w:t>
      </w:r>
      <w:r w:rsidR="008A38ED">
        <w:rPr>
          <w:bCs/>
          <w:color w:val="131413"/>
          <w:spacing w:val="-2"/>
          <w:lang w:val="de-CH"/>
        </w:rPr>
        <w:t>mathematische Leistung</w:t>
      </w:r>
      <w:r w:rsidR="00DB5B00">
        <w:rPr>
          <w:bCs/>
          <w:color w:val="131413"/>
          <w:spacing w:val="-2"/>
          <w:lang w:val="de-CH"/>
        </w:rPr>
        <w:t xml:space="preserve"> </w:t>
      </w:r>
      <w:r w:rsidR="00CD15AC">
        <w:rPr>
          <w:bCs/>
          <w:color w:val="131413"/>
          <w:spacing w:val="-2"/>
          <w:lang w:val="de-CH"/>
        </w:rPr>
        <w:t>im Vorschulalter hängt mit allen drei Fähigkeiten zusammen</w:t>
      </w:r>
      <w:r w:rsidR="0044730D">
        <w:rPr>
          <w:bCs/>
          <w:color w:val="131413"/>
          <w:spacing w:val="-2"/>
          <w:lang w:val="de-CH"/>
        </w:rPr>
        <w:t xml:space="preserve">. </w:t>
      </w:r>
      <w:r w:rsidR="008A38ED">
        <w:rPr>
          <w:bCs/>
          <w:color w:val="131413"/>
          <w:spacing w:val="-2"/>
          <w:lang w:val="de-CH"/>
        </w:rPr>
        <w:t xml:space="preserve">Sie </w:t>
      </w:r>
      <w:r w:rsidR="00FD5787">
        <w:rPr>
          <w:bCs/>
          <w:color w:val="131413"/>
          <w:spacing w:val="-2"/>
          <w:lang w:val="de-CH"/>
        </w:rPr>
        <w:t xml:space="preserve">bedingen sich </w:t>
      </w:r>
      <w:r w:rsidR="008A38ED">
        <w:rPr>
          <w:bCs/>
          <w:color w:val="131413"/>
          <w:spacing w:val="-2"/>
          <w:lang w:val="de-CH"/>
        </w:rPr>
        <w:t>zudem</w:t>
      </w:r>
      <w:r w:rsidR="00FD5787">
        <w:rPr>
          <w:bCs/>
          <w:color w:val="131413"/>
          <w:spacing w:val="-2"/>
          <w:lang w:val="de-CH"/>
        </w:rPr>
        <w:t xml:space="preserve"> gegenseitig</w:t>
      </w:r>
      <w:r w:rsidR="007E4FC7">
        <w:rPr>
          <w:bCs/>
          <w:color w:val="131413"/>
          <w:spacing w:val="-2"/>
          <w:lang w:val="de-CH"/>
        </w:rPr>
        <w:t>:</w:t>
      </w:r>
      <w:r w:rsidR="00FD5787">
        <w:rPr>
          <w:bCs/>
          <w:color w:val="131413"/>
          <w:spacing w:val="-2"/>
          <w:lang w:val="de-CH"/>
        </w:rPr>
        <w:t xml:space="preserve"> </w:t>
      </w:r>
      <w:r w:rsidR="00701D6A">
        <w:rPr>
          <w:bCs/>
          <w:color w:val="131413"/>
          <w:spacing w:val="-2"/>
          <w:lang w:val="de-CH"/>
        </w:rPr>
        <w:t xml:space="preserve">Kinder mit besseren motorischen Kompetenzen sind auch besser darin, eigene und fremde Emotionen zu erkennen und zu benennen (sogenanntes Emotionswissen). </w:t>
      </w:r>
      <w:r w:rsidR="00FD5787">
        <w:rPr>
          <w:bCs/>
          <w:color w:val="131413"/>
          <w:spacing w:val="-2"/>
          <w:lang w:val="de-CH"/>
        </w:rPr>
        <w:t xml:space="preserve">Kinder mit </w:t>
      </w:r>
      <w:r w:rsidR="00EC7EE1">
        <w:rPr>
          <w:bCs/>
          <w:color w:val="131413"/>
          <w:spacing w:val="-2"/>
          <w:lang w:val="de-CH"/>
        </w:rPr>
        <w:t>mehr</w:t>
      </w:r>
      <w:r w:rsidR="00FD5787">
        <w:rPr>
          <w:bCs/>
          <w:color w:val="131413"/>
          <w:spacing w:val="-2"/>
          <w:lang w:val="de-CH"/>
        </w:rPr>
        <w:t xml:space="preserve"> Emotionswissen</w:t>
      </w:r>
      <w:r w:rsidR="008A38ED">
        <w:rPr>
          <w:bCs/>
          <w:color w:val="131413"/>
          <w:spacing w:val="-2"/>
          <w:lang w:val="de-CH"/>
        </w:rPr>
        <w:t xml:space="preserve"> </w:t>
      </w:r>
      <w:r w:rsidR="00EC7EE1">
        <w:rPr>
          <w:bCs/>
          <w:color w:val="131413"/>
          <w:spacing w:val="-2"/>
          <w:lang w:val="de-CH"/>
        </w:rPr>
        <w:t>verhalten sich wiederum kooperativer</w:t>
      </w:r>
      <w:r w:rsidR="008A38ED">
        <w:rPr>
          <w:bCs/>
          <w:color w:val="131413"/>
          <w:spacing w:val="-2"/>
          <w:lang w:val="de-CH"/>
        </w:rPr>
        <w:t>.</w:t>
      </w:r>
    </w:p>
    <w:p w14:paraId="486B7F3B" w14:textId="77777777" w:rsidR="00850224" w:rsidRDefault="00850224" w:rsidP="007D60A7">
      <w:pPr>
        <w:spacing w:before="59" w:line="276" w:lineRule="auto"/>
        <w:rPr>
          <w:bCs/>
          <w:color w:val="131413"/>
          <w:spacing w:val="-2"/>
          <w:lang w:val="de-CH"/>
        </w:rPr>
      </w:pPr>
    </w:p>
    <w:p w14:paraId="7FD766EC" w14:textId="422AF02D" w:rsidR="00FD5787" w:rsidRPr="0054346C" w:rsidRDefault="004349CB" w:rsidP="007D60A7">
      <w:pPr>
        <w:spacing w:before="59" w:line="276" w:lineRule="auto"/>
        <w:rPr>
          <w:bCs/>
          <w:color w:val="131413"/>
          <w:spacing w:val="-2"/>
          <w:lang w:val="de-CH"/>
        </w:rPr>
      </w:pPr>
      <w:r>
        <w:rPr>
          <w:bCs/>
          <w:color w:val="131413"/>
          <w:spacing w:val="-2"/>
          <w:lang w:val="de-CH"/>
        </w:rPr>
        <w:t>Der Artikel</w:t>
      </w:r>
      <w:r w:rsidR="007E4FC7">
        <w:rPr>
          <w:bCs/>
          <w:color w:val="131413"/>
          <w:spacing w:val="-2"/>
          <w:lang w:val="de-CH"/>
        </w:rPr>
        <w:t xml:space="preserve"> </w:t>
      </w:r>
      <w:r w:rsidR="00D47C87">
        <w:rPr>
          <w:bCs/>
          <w:color w:val="131413"/>
          <w:spacing w:val="-2"/>
          <w:lang w:val="de-CH"/>
        </w:rPr>
        <w:t>skizzier</w:t>
      </w:r>
      <w:r>
        <w:rPr>
          <w:bCs/>
          <w:color w:val="131413"/>
          <w:spacing w:val="-2"/>
          <w:lang w:val="de-CH"/>
        </w:rPr>
        <w:t>t</w:t>
      </w:r>
      <w:r w:rsidR="007E4FC7">
        <w:rPr>
          <w:bCs/>
          <w:color w:val="131413"/>
          <w:spacing w:val="-2"/>
          <w:lang w:val="de-CH"/>
        </w:rPr>
        <w:t xml:space="preserve"> </w:t>
      </w:r>
      <w:r w:rsidR="00F97929">
        <w:rPr>
          <w:bCs/>
          <w:color w:val="131413"/>
          <w:spacing w:val="-2"/>
          <w:lang w:val="de-CH"/>
        </w:rPr>
        <w:t>drei</w:t>
      </w:r>
      <w:r w:rsidR="007E4FC7">
        <w:rPr>
          <w:bCs/>
          <w:color w:val="131413"/>
          <w:spacing w:val="-2"/>
          <w:lang w:val="de-CH"/>
        </w:rPr>
        <w:t xml:space="preserve"> </w:t>
      </w:r>
      <w:r w:rsidR="00701D6A">
        <w:rPr>
          <w:bCs/>
          <w:color w:val="131413"/>
          <w:spacing w:val="-2"/>
          <w:lang w:val="de-CH"/>
        </w:rPr>
        <w:t>th</w:t>
      </w:r>
      <w:r>
        <w:rPr>
          <w:bCs/>
          <w:color w:val="131413"/>
          <w:spacing w:val="-2"/>
          <w:lang w:val="de-CH"/>
        </w:rPr>
        <w:t>e</w:t>
      </w:r>
      <w:r w:rsidR="00701D6A">
        <w:rPr>
          <w:bCs/>
          <w:color w:val="131413"/>
          <w:spacing w:val="-2"/>
          <w:lang w:val="de-CH"/>
        </w:rPr>
        <w:t xml:space="preserve">oretische </w:t>
      </w:r>
      <w:r w:rsidR="007E4FC7">
        <w:rPr>
          <w:bCs/>
          <w:color w:val="131413"/>
          <w:spacing w:val="-2"/>
          <w:lang w:val="de-CH"/>
        </w:rPr>
        <w:t>Erklärungen</w:t>
      </w:r>
      <w:r w:rsidR="00A30D57">
        <w:rPr>
          <w:bCs/>
          <w:color w:val="131413"/>
          <w:spacing w:val="-2"/>
          <w:lang w:val="de-CH"/>
        </w:rPr>
        <w:t xml:space="preserve"> für die</w:t>
      </w:r>
      <w:r w:rsidR="00EC7EE1">
        <w:rPr>
          <w:bCs/>
          <w:color w:val="131413"/>
          <w:spacing w:val="-2"/>
          <w:lang w:val="de-CH"/>
        </w:rPr>
        <w:t xml:space="preserve">se </w:t>
      </w:r>
      <w:r w:rsidR="00A30D57">
        <w:rPr>
          <w:bCs/>
          <w:color w:val="131413"/>
          <w:spacing w:val="-2"/>
          <w:lang w:val="de-CH"/>
        </w:rPr>
        <w:t>Zusammenhänge</w:t>
      </w:r>
      <w:r>
        <w:rPr>
          <w:bCs/>
          <w:color w:val="131413"/>
          <w:spacing w:val="-2"/>
          <w:lang w:val="de-CH"/>
        </w:rPr>
        <w:t>.</w:t>
      </w:r>
      <w:r w:rsidR="00A30D57">
        <w:rPr>
          <w:bCs/>
          <w:color w:val="131413"/>
          <w:spacing w:val="-2"/>
          <w:lang w:val="de-CH"/>
        </w:rPr>
        <w:t xml:space="preserve"> </w:t>
      </w:r>
      <w:r w:rsidR="006C2F4C">
        <w:rPr>
          <w:bCs/>
          <w:color w:val="131413"/>
          <w:spacing w:val="-2"/>
          <w:lang w:val="de-CH"/>
        </w:rPr>
        <w:t xml:space="preserve">Kinder mit guten motorischen Fähigkeiten, so die erste Erklärung, spielen öfter mit anderen Kindern. Dadurch bauen sie Emotionswissen auf. </w:t>
      </w:r>
      <w:r w:rsidR="00DB5B00">
        <w:rPr>
          <w:bCs/>
          <w:color w:val="131413"/>
          <w:spacing w:val="-2"/>
          <w:lang w:val="de-CH"/>
        </w:rPr>
        <w:t>Wenn Kinder Emotionen verstehen und sich kooperativ verhalten</w:t>
      </w:r>
      <w:r w:rsidR="00AA56EC">
        <w:rPr>
          <w:bCs/>
          <w:color w:val="131413"/>
          <w:spacing w:val="-2"/>
          <w:lang w:val="de-CH"/>
        </w:rPr>
        <w:t xml:space="preserve">, bilden </w:t>
      </w:r>
      <w:r w:rsidR="00DB5B00">
        <w:rPr>
          <w:bCs/>
          <w:color w:val="131413"/>
          <w:spacing w:val="-2"/>
          <w:lang w:val="de-CH"/>
        </w:rPr>
        <w:t>sie</w:t>
      </w:r>
      <w:r w:rsidR="00AA56EC">
        <w:rPr>
          <w:bCs/>
          <w:color w:val="131413"/>
          <w:spacing w:val="-2"/>
          <w:lang w:val="de-CH"/>
        </w:rPr>
        <w:t xml:space="preserve"> wiederum</w:t>
      </w:r>
      <w:r w:rsidR="00DB5B00">
        <w:rPr>
          <w:bCs/>
          <w:color w:val="131413"/>
          <w:spacing w:val="-2"/>
          <w:lang w:val="de-CH"/>
        </w:rPr>
        <w:t xml:space="preserve"> gute </w:t>
      </w:r>
      <w:r w:rsidR="00A30D57">
        <w:rPr>
          <w:bCs/>
          <w:color w:val="131413"/>
          <w:spacing w:val="-2"/>
          <w:lang w:val="de-CH"/>
        </w:rPr>
        <w:t>Beziehungen mit Lehrern und Mitschülerinnen</w:t>
      </w:r>
      <w:r w:rsidR="006C2F4C">
        <w:rPr>
          <w:bCs/>
          <w:color w:val="131413"/>
          <w:spacing w:val="-2"/>
          <w:lang w:val="de-CH"/>
        </w:rPr>
        <w:t>.</w:t>
      </w:r>
      <w:r w:rsidR="006C2F4C" w:rsidRPr="006C2F4C">
        <w:rPr>
          <w:bCs/>
          <w:color w:val="131413"/>
          <w:spacing w:val="-2"/>
          <w:lang w:val="de-CH"/>
        </w:rPr>
        <w:t xml:space="preserve"> </w:t>
      </w:r>
      <w:r w:rsidR="006C2F4C">
        <w:rPr>
          <w:bCs/>
          <w:color w:val="131413"/>
          <w:spacing w:val="-2"/>
          <w:lang w:val="de-CH"/>
        </w:rPr>
        <w:t xml:space="preserve">Weil Lernen ein sozialer Prozess ist, führt dies zu besseren akademischen Leistungen. </w:t>
      </w:r>
      <w:r>
        <w:rPr>
          <w:bCs/>
          <w:color w:val="131413"/>
          <w:spacing w:val="-2"/>
          <w:lang w:val="de-CH"/>
        </w:rPr>
        <w:t>Zweitens</w:t>
      </w:r>
      <w:r w:rsidR="00A30D57">
        <w:rPr>
          <w:bCs/>
          <w:color w:val="131413"/>
          <w:spacing w:val="-2"/>
          <w:lang w:val="de-CH"/>
        </w:rPr>
        <w:t xml:space="preserve"> </w:t>
      </w:r>
      <w:r>
        <w:rPr>
          <w:bCs/>
          <w:color w:val="131413"/>
          <w:spacing w:val="-2"/>
          <w:lang w:val="de-CH"/>
        </w:rPr>
        <w:t>könnte es sein</w:t>
      </w:r>
      <w:r w:rsidR="00EC7EE1">
        <w:rPr>
          <w:bCs/>
          <w:color w:val="131413"/>
          <w:spacing w:val="-2"/>
          <w:lang w:val="de-CH"/>
        </w:rPr>
        <w:t>, dass</w:t>
      </w:r>
      <w:r w:rsidR="00A30D57">
        <w:rPr>
          <w:bCs/>
          <w:color w:val="131413"/>
          <w:spacing w:val="-2"/>
          <w:lang w:val="de-CH"/>
        </w:rPr>
        <w:t xml:space="preserve"> Emotionswissen und intellektuelle Kompetenzen teilweise überlappen</w:t>
      </w:r>
      <w:r w:rsidR="00EC7EE1">
        <w:rPr>
          <w:bCs/>
          <w:color w:val="131413"/>
          <w:spacing w:val="-2"/>
          <w:lang w:val="de-CH"/>
        </w:rPr>
        <w:t>. Ein Beispiel dafür ist das Benennen</w:t>
      </w:r>
      <w:r w:rsidR="00A30D57">
        <w:rPr>
          <w:bCs/>
          <w:color w:val="131413"/>
          <w:spacing w:val="-2"/>
          <w:lang w:val="de-CH"/>
        </w:rPr>
        <w:t xml:space="preserve"> von Emotionen und von Zahl</w:t>
      </w:r>
      <w:r w:rsidR="00701D6A">
        <w:rPr>
          <w:bCs/>
          <w:color w:val="131413"/>
          <w:spacing w:val="-2"/>
          <w:lang w:val="de-CH"/>
        </w:rPr>
        <w:t>en</w:t>
      </w:r>
      <w:r w:rsidR="00A30D57">
        <w:rPr>
          <w:bCs/>
          <w:color w:val="131413"/>
          <w:spacing w:val="-2"/>
          <w:lang w:val="de-CH"/>
        </w:rPr>
        <w:t xml:space="preserve">. </w:t>
      </w:r>
      <w:r>
        <w:rPr>
          <w:bCs/>
          <w:color w:val="131413"/>
          <w:spacing w:val="-2"/>
          <w:lang w:val="de-CH"/>
        </w:rPr>
        <w:t>Drittens</w:t>
      </w:r>
      <w:r w:rsidR="00661524">
        <w:rPr>
          <w:bCs/>
          <w:color w:val="131413"/>
          <w:spacing w:val="-2"/>
          <w:lang w:val="de-CH"/>
        </w:rPr>
        <w:t xml:space="preserve"> </w:t>
      </w:r>
      <w:r>
        <w:rPr>
          <w:bCs/>
          <w:color w:val="131413"/>
          <w:spacing w:val="-2"/>
          <w:lang w:val="de-CH"/>
        </w:rPr>
        <w:t>gibt es wissenschaftliche Hinweise, dass motorische Aktivitäten bei Kleinkindern</w:t>
      </w:r>
      <w:r w:rsidR="00701D6A">
        <w:rPr>
          <w:bCs/>
          <w:color w:val="131413"/>
          <w:spacing w:val="-2"/>
          <w:lang w:val="de-CH"/>
        </w:rPr>
        <w:t xml:space="preserve"> </w:t>
      </w:r>
      <w:r>
        <w:rPr>
          <w:bCs/>
          <w:color w:val="131413"/>
          <w:spacing w:val="-2"/>
          <w:lang w:val="de-CH"/>
        </w:rPr>
        <w:t xml:space="preserve">die Selbstregulation </w:t>
      </w:r>
      <w:r w:rsidR="000D61CC">
        <w:rPr>
          <w:bCs/>
          <w:color w:val="131413"/>
          <w:spacing w:val="-2"/>
          <w:lang w:val="de-CH"/>
        </w:rPr>
        <w:t>fördern</w:t>
      </w:r>
      <w:r w:rsidR="006C2F4C">
        <w:rPr>
          <w:bCs/>
          <w:color w:val="131413"/>
          <w:spacing w:val="-2"/>
          <w:lang w:val="de-CH"/>
        </w:rPr>
        <w:t xml:space="preserve">. Dies betrifft insbesondere die </w:t>
      </w:r>
      <w:r w:rsidR="00661524">
        <w:rPr>
          <w:bCs/>
          <w:color w:val="131413"/>
          <w:spacing w:val="-2"/>
          <w:lang w:val="de-CH"/>
        </w:rPr>
        <w:t>Impulskontrolle</w:t>
      </w:r>
      <w:r w:rsidR="006C2F4C">
        <w:rPr>
          <w:bCs/>
          <w:color w:val="131413"/>
          <w:spacing w:val="-2"/>
          <w:lang w:val="de-CH"/>
        </w:rPr>
        <w:t xml:space="preserve">, die es </w:t>
      </w:r>
      <w:r w:rsidR="00484091">
        <w:rPr>
          <w:bCs/>
          <w:color w:val="131413"/>
          <w:spacing w:val="-2"/>
          <w:lang w:val="de-CH"/>
        </w:rPr>
        <w:t>erlaubt</w:t>
      </w:r>
      <w:r w:rsidR="00A02F82">
        <w:rPr>
          <w:bCs/>
          <w:color w:val="131413"/>
          <w:spacing w:val="-2"/>
          <w:lang w:val="de-CH"/>
        </w:rPr>
        <w:t>, mit Ablenkungen</w:t>
      </w:r>
      <w:r w:rsidR="006C2F4C">
        <w:rPr>
          <w:bCs/>
          <w:color w:val="131413"/>
          <w:spacing w:val="-2"/>
          <w:lang w:val="de-CH"/>
        </w:rPr>
        <w:t xml:space="preserve"> besser</w:t>
      </w:r>
      <w:r w:rsidR="00A02F82">
        <w:rPr>
          <w:bCs/>
          <w:color w:val="131413"/>
          <w:spacing w:val="-2"/>
          <w:lang w:val="de-CH"/>
        </w:rPr>
        <w:t xml:space="preserve"> umzugehen</w:t>
      </w:r>
      <w:r w:rsidR="006C2F4C">
        <w:rPr>
          <w:bCs/>
          <w:color w:val="131413"/>
          <w:spacing w:val="-2"/>
          <w:lang w:val="de-CH"/>
        </w:rPr>
        <w:t xml:space="preserve">. </w:t>
      </w:r>
    </w:p>
    <w:p w14:paraId="6E08D99E" w14:textId="77777777" w:rsidR="009D38C3" w:rsidRPr="00D5153F" w:rsidRDefault="009D38C3" w:rsidP="007D60A7">
      <w:pPr>
        <w:pStyle w:val="Textkrper"/>
        <w:spacing w:before="6" w:line="276" w:lineRule="auto"/>
        <w:rPr>
          <w:sz w:val="26"/>
          <w:lang w:val="de-CH"/>
        </w:rPr>
      </w:pPr>
    </w:p>
    <w:p w14:paraId="64917C02" w14:textId="43DF6658" w:rsidR="009D38C3" w:rsidRPr="00D5153F" w:rsidRDefault="001C1A7E" w:rsidP="007D60A7">
      <w:pPr>
        <w:pStyle w:val="berschrift1"/>
        <w:spacing w:line="276" w:lineRule="auto"/>
        <w:rPr>
          <w:lang w:val="de-CH"/>
        </w:rPr>
      </w:pPr>
      <w:r w:rsidRPr="00D5153F">
        <w:rPr>
          <w:lang w:val="de-CH"/>
        </w:rPr>
        <w:t>10</w:t>
      </w:r>
      <w:r w:rsidR="00DB5673">
        <w:rPr>
          <w:lang w:val="de-CH"/>
        </w:rPr>
        <w:t>0</w:t>
      </w:r>
      <w:r w:rsidRPr="00D5153F">
        <w:rPr>
          <w:spacing w:val="-8"/>
          <w:lang w:val="de-CH"/>
        </w:rPr>
        <w:t xml:space="preserve"> </w:t>
      </w:r>
      <w:r w:rsidRPr="00D5153F">
        <w:rPr>
          <w:lang w:val="de-CH"/>
        </w:rPr>
        <w:t>Kandidaturen</w:t>
      </w:r>
      <w:r w:rsidRPr="00D5153F">
        <w:rPr>
          <w:spacing w:val="-6"/>
          <w:lang w:val="de-CH"/>
        </w:rPr>
        <w:t xml:space="preserve"> </w:t>
      </w:r>
      <w:r w:rsidR="009D42C5">
        <w:rPr>
          <w:spacing w:val="-6"/>
          <w:lang w:val="de-CH"/>
        </w:rPr>
        <w:t>aus über 20 Disziplinen</w:t>
      </w:r>
    </w:p>
    <w:p w14:paraId="4EF22DDF" w14:textId="77777777" w:rsidR="00A902D5" w:rsidRDefault="006A6258" w:rsidP="007D60A7">
      <w:pPr>
        <w:pStyle w:val="Textkrper"/>
        <w:spacing w:before="44" w:line="276" w:lineRule="auto"/>
        <w:ind w:right="469"/>
        <w:rPr>
          <w:lang w:val="de-CH"/>
        </w:rPr>
      </w:pPr>
      <w:r>
        <w:rPr>
          <w:lang w:val="de-CH"/>
        </w:rPr>
        <w:t>100 Aufsätze aus über</w:t>
      </w:r>
      <w:r w:rsidRPr="00D5153F">
        <w:rPr>
          <w:lang w:val="de-CH"/>
        </w:rPr>
        <w:t xml:space="preserve"> 20 </w:t>
      </w:r>
      <w:r w:rsidR="000F542C">
        <w:rPr>
          <w:lang w:val="de-CH"/>
        </w:rPr>
        <w:t xml:space="preserve">wissenschaftlichen </w:t>
      </w:r>
      <w:r w:rsidRPr="00D5153F">
        <w:rPr>
          <w:lang w:val="de-CH"/>
        </w:rPr>
        <w:t>Disziplinen</w:t>
      </w:r>
      <w:r>
        <w:rPr>
          <w:lang w:val="de-CH"/>
        </w:rPr>
        <w:t xml:space="preserve"> </w:t>
      </w:r>
      <w:r w:rsidR="00ED3CD8">
        <w:rPr>
          <w:lang w:val="de-CH"/>
        </w:rPr>
        <w:t>standen</w:t>
      </w:r>
      <w:r>
        <w:rPr>
          <w:lang w:val="de-CH"/>
        </w:rPr>
        <w:t xml:space="preserve"> im Rennen um den Nachwuchspreis 2021. </w:t>
      </w:r>
      <w:r w:rsidR="00ED3CD8">
        <w:rPr>
          <w:lang w:val="de-CH"/>
        </w:rPr>
        <w:t>Rund ein</w:t>
      </w:r>
      <w:r w:rsidR="009D52F1">
        <w:rPr>
          <w:lang w:val="de-CH"/>
        </w:rPr>
        <w:t xml:space="preserve"> Viertel </w:t>
      </w:r>
      <w:r w:rsidR="00765FB1">
        <w:rPr>
          <w:lang w:val="de-CH"/>
        </w:rPr>
        <w:t>davon ist interdisziplinär – bei der Forschung kamen Methoden aus verschiedenen Disziplinen zum Einsatz. Ansonsten</w:t>
      </w:r>
      <w:r w:rsidR="00ED3CD8">
        <w:rPr>
          <w:lang w:val="de-CH"/>
        </w:rPr>
        <w:t xml:space="preserve"> </w:t>
      </w:r>
      <w:r w:rsidR="00765FB1">
        <w:rPr>
          <w:lang w:val="de-CH"/>
        </w:rPr>
        <w:t>ist</w:t>
      </w:r>
      <w:r w:rsidR="00ED3CD8" w:rsidRPr="00D5153F">
        <w:rPr>
          <w:lang w:val="de-CH"/>
        </w:rPr>
        <w:t xml:space="preserve"> die </w:t>
      </w:r>
      <w:r w:rsidR="00ED3CD8">
        <w:rPr>
          <w:lang w:val="de-CH"/>
        </w:rPr>
        <w:t>Politikwissenschaft</w:t>
      </w:r>
      <w:r w:rsidR="00ED3CD8" w:rsidRPr="00D5153F">
        <w:rPr>
          <w:lang w:val="de-CH"/>
        </w:rPr>
        <w:t xml:space="preserve"> mit 1</w:t>
      </w:r>
      <w:r w:rsidR="00ED3CD8">
        <w:rPr>
          <w:lang w:val="de-CH"/>
        </w:rPr>
        <w:t>3</w:t>
      </w:r>
      <w:r w:rsidR="00ED3CD8" w:rsidRPr="00D5153F">
        <w:rPr>
          <w:lang w:val="de-CH"/>
        </w:rPr>
        <w:t xml:space="preserve"> Gesuchen</w:t>
      </w:r>
      <w:r w:rsidR="00ED3CD8">
        <w:rPr>
          <w:lang w:val="de-CH"/>
        </w:rPr>
        <w:t xml:space="preserve"> am stärksten vertreten, gefolgt von der Geschichtswissenschaft (12). </w:t>
      </w:r>
    </w:p>
    <w:p w14:paraId="3C4F3976" w14:textId="3BD69430" w:rsidR="009D38C3" w:rsidRPr="00D5153F" w:rsidRDefault="006A6258" w:rsidP="007D60A7">
      <w:pPr>
        <w:pStyle w:val="Textkrper"/>
        <w:spacing w:before="44" w:line="276" w:lineRule="auto"/>
        <w:ind w:right="469"/>
        <w:rPr>
          <w:lang w:val="de-CH"/>
        </w:rPr>
      </w:pPr>
      <w:r w:rsidRPr="00D5153F">
        <w:rPr>
          <w:lang w:val="de-CH"/>
        </w:rPr>
        <w:t xml:space="preserve">Die </w:t>
      </w:r>
      <w:r>
        <w:rPr>
          <w:lang w:val="de-CH"/>
        </w:rPr>
        <w:t>Kandidierenden</w:t>
      </w:r>
      <w:r w:rsidRPr="00D5153F">
        <w:rPr>
          <w:lang w:val="de-CH"/>
        </w:rPr>
        <w:t xml:space="preserve"> vertr</w:t>
      </w:r>
      <w:r>
        <w:rPr>
          <w:lang w:val="de-CH"/>
        </w:rPr>
        <w:t>e</w:t>
      </w:r>
      <w:r w:rsidRPr="00D5153F">
        <w:rPr>
          <w:lang w:val="de-CH"/>
        </w:rPr>
        <w:t xml:space="preserve">ten </w:t>
      </w:r>
      <w:r>
        <w:rPr>
          <w:lang w:val="de-CH"/>
        </w:rPr>
        <w:t>rund 19</w:t>
      </w:r>
      <w:r w:rsidRPr="00D5153F">
        <w:rPr>
          <w:lang w:val="de-CH"/>
        </w:rPr>
        <w:t xml:space="preserve"> Schweizer Hochschulen</w:t>
      </w:r>
      <w:r>
        <w:rPr>
          <w:lang w:val="de-CH"/>
        </w:rPr>
        <w:t>.</w:t>
      </w:r>
      <w:r w:rsidR="001C1A7E" w:rsidRPr="00D5153F">
        <w:rPr>
          <w:lang w:val="de-CH"/>
        </w:rPr>
        <w:t xml:space="preserve"> </w:t>
      </w:r>
      <w:r w:rsidR="00ED3CD8">
        <w:rPr>
          <w:lang w:val="de-CH"/>
        </w:rPr>
        <w:t>M</w:t>
      </w:r>
      <w:r w:rsidR="00667A5B">
        <w:rPr>
          <w:lang w:val="de-CH"/>
        </w:rPr>
        <w:t>ännliche und weibliche Kandidaturen</w:t>
      </w:r>
      <w:r w:rsidR="00ED3CD8">
        <w:rPr>
          <w:lang w:val="de-CH"/>
        </w:rPr>
        <w:t xml:space="preserve"> hielten sich</w:t>
      </w:r>
      <w:r w:rsidR="001C1A7E" w:rsidRPr="00D5153F">
        <w:rPr>
          <w:spacing w:val="-3"/>
          <w:lang w:val="de-CH"/>
        </w:rPr>
        <w:t xml:space="preserve"> </w:t>
      </w:r>
      <w:r w:rsidR="00667A5B">
        <w:rPr>
          <w:spacing w:val="-3"/>
          <w:lang w:val="de-CH"/>
        </w:rPr>
        <w:t xml:space="preserve">in </w:t>
      </w:r>
      <w:r w:rsidR="00667A5B">
        <w:rPr>
          <w:lang w:val="de-CH"/>
        </w:rPr>
        <w:t>etwa die</w:t>
      </w:r>
      <w:r w:rsidR="001C1A7E" w:rsidRPr="00D5153F">
        <w:rPr>
          <w:spacing w:val="-3"/>
          <w:lang w:val="de-CH"/>
        </w:rPr>
        <w:t xml:space="preserve"> </w:t>
      </w:r>
      <w:r w:rsidR="001C1A7E" w:rsidRPr="00D5153F">
        <w:rPr>
          <w:lang w:val="de-CH"/>
        </w:rPr>
        <w:t>Waag</w:t>
      </w:r>
      <w:r w:rsidR="00667A5B">
        <w:rPr>
          <w:lang w:val="de-CH"/>
        </w:rPr>
        <w:t>e</w:t>
      </w:r>
      <w:r w:rsidR="001C1A7E" w:rsidRPr="00D5153F">
        <w:rPr>
          <w:lang w:val="de-CH"/>
        </w:rPr>
        <w:t>.</w:t>
      </w:r>
      <w:r w:rsidR="001C1A7E" w:rsidRPr="00D5153F">
        <w:rPr>
          <w:spacing w:val="-7"/>
          <w:lang w:val="de-CH"/>
        </w:rPr>
        <w:t xml:space="preserve"> </w:t>
      </w:r>
      <w:r w:rsidR="001C1A7E" w:rsidRPr="00D5153F">
        <w:rPr>
          <w:lang w:val="de-CH"/>
        </w:rPr>
        <w:t xml:space="preserve">Rund zwei Drittel der eingereichten Texte </w:t>
      </w:r>
      <w:r w:rsidR="00484091">
        <w:rPr>
          <w:lang w:val="de-CH"/>
        </w:rPr>
        <w:t>sind</w:t>
      </w:r>
      <w:r w:rsidR="001C1A7E" w:rsidRPr="00D5153F">
        <w:rPr>
          <w:lang w:val="de-CH"/>
        </w:rPr>
        <w:t xml:space="preserve"> auf Englisch </w:t>
      </w:r>
      <w:r w:rsidR="00667A5B">
        <w:rPr>
          <w:lang w:val="de-CH"/>
        </w:rPr>
        <w:t>verfasst</w:t>
      </w:r>
      <w:r w:rsidR="009D42C5">
        <w:rPr>
          <w:lang w:val="de-CH"/>
        </w:rPr>
        <w:t xml:space="preserve"> (68</w:t>
      </w:r>
      <w:r w:rsidR="00484091">
        <w:rPr>
          <w:lang w:val="de-CH"/>
        </w:rPr>
        <w:t> </w:t>
      </w:r>
      <w:r w:rsidR="009D42C5">
        <w:rPr>
          <w:lang w:val="de-CH"/>
        </w:rPr>
        <w:t>%)</w:t>
      </w:r>
      <w:r w:rsidR="001C1A7E" w:rsidRPr="00D5153F">
        <w:rPr>
          <w:lang w:val="de-CH"/>
        </w:rPr>
        <w:t xml:space="preserve">, das </w:t>
      </w:r>
      <w:r w:rsidR="009D42C5">
        <w:rPr>
          <w:lang w:val="de-CH"/>
        </w:rPr>
        <w:t>andere</w:t>
      </w:r>
      <w:r w:rsidR="001C1A7E" w:rsidRPr="00D5153F">
        <w:rPr>
          <w:lang w:val="de-CH"/>
        </w:rPr>
        <w:t xml:space="preserve"> Drittel auf Französisch</w:t>
      </w:r>
      <w:r w:rsidR="009D42C5">
        <w:rPr>
          <w:lang w:val="de-CH"/>
        </w:rPr>
        <w:t xml:space="preserve"> (17</w:t>
      </w:r>
      <w:r w:rsidR="00484091">
        <w:rPr>
          <w:lang w:val="de-CH"/>
        </w:rPr>
        <w:t> </w:t>
      </w:r>
      <w:r w:rsidR="009D42C5">
        <w:rPr>
          <w:lang w:val="de-CH"/>
        </w:rPr>
        <w:t>%)</w:t>
      </w:r>
      <w:r w:rsidR="001C1A7E" w:rsidRPr="00D5153F">
        <w:rPr>
          <w:lang w:val="de-CH"/>
        </w:rPr>
        <w:t>, Deutsch</w:t>
      </w:r>
      <w:r w:rsidR="009D42C5">
        <w:rPr>
          <w:lang w:val="de-CH"/>
        </w:rPr>
        <w:t xml:space="preserve"> (13</w:t>
      </w:r>
      <w:r w:rsidR="00484091">
        <w:rPr>
          <w:lang w:val="de-CH"/>
        </w:rPr>
        <w:t> </w:t>
      </w:r>
      <w:r w:rsidR="009D42C5">
        <w:rPr>
          <w:lang w:val="de-CH"/>
        </w:rPr>
        <w:t>%)</w:t>
      </w:r>
      <w:r w:rsidR="001C1A7E" w:rsidRPr="00D5153F">
        <w:rPr>
          <w:lang w:val="de-CH"/>
        </w:rPr>
        <w:t xml:space="preserve"> und Italienisch</w:t>
      </w:r>
      <w:r w:rsidR="009D42C5">
        <w:rPr>
          <w:lang w:val="de-CH"/>
        </w:rPr>
        <w:t xml:space="preserve"> (2</w:t>
      </w:r>
      <w:r w:rsidR="00484091">
        <w:rPr>
          <w:lang w:val="de-CH"/>
        </w:rPr>
        <w:t> </w:t>
      </w:r>
      <w:r w:rsidR="009D42C5">
        <w:rPr>
          <w:lang w:val="de-CH"/>
        </w:rPr>
        <w:t>%)</w:t>
      </w:r>
      <w:r w:rsidR="001C1A7E" w:rsidRPr="00D5153F">
        <w:rPr>
          <w:lang w:val="de-CH"/>
        </w:rPr>
        <w:t>.</w:t>
      </w:r>
      <w:r>
        <w:rPr>
          <w:lang w:val="de-CH"/>
        </w:rPr>
        <w:t xml:space="preserve"> </w:t>
      </w:r>
      <w:r w:rsidR="00765FB1" w:rsidRPr="00D5153F">
        <w:rPr>
          <w:lang w:val="de-CH"/>
        </w:rPr>
        <w:t>Die zehnköpfige Jury wählte die Preisträger</w:t>
      </w:r>
      <w:r w:rsidR="00765FB1">
        <w:rPr>
          <w:lang w:val="de-CH"/>
        </w:rPr>
        <w:t>innen</w:t>
      </w:r>
      <w:r w:rsidR="00765FB1" w:rsidRPr="00D5153F">
        <w:rPr>
          <w:lang w:val="de-CH"/>
        </w:rPr>
        <w:t xml:space="preserve"> und Preisträgerin in einem dreistufigen Evaluationsverfahren aus.</w:t>
      </w:r>
    </w:p>
    <w:p w14:paraId="465C2A73" w14:textId="77777777" w:rsidR="009D38C3" w:rsidRPr="00D5153F" w:rsidRDefault="009D38C3" w:rsidP="007D60A7">
      <w:pPr>
        <w:pStyle w:val="Textkrper"/>
        <w:spacing w:before="9" w:line="276" w:lineRule="auto"/>
        <w:rPr>
          <w:sz w:val="26"/>
          <w:lang w:val="de-CH"/>
        </w:rPr>
      </w:pPr>
    </w:p>
    <w:p w14:paraId="61DB4FD8" w14:textId="3C35DBF8" w:rsidR="0089414E" w:rsidRPr="00A902D5" w:rsidRDefault="001C1A7E" w:rsidP="00A902D5">
      <w:pPr>
        <w:pStyle w:val="Textkrper"/>
        <w:spacing w:line="276" w:lineRule="auto"/>
        <w:ind w:right="282"/>
        <w:rPr>
          <w:lang w:val="de-CH"/>
        </w:rPr>
      </w:pPr>
      <w:r w:rsidRPr="00D5153F">
        <w:rPr>
          <w:lang w:val="de-CH"/>
        </w:rPr>
        <w:t>Der 1996 ins Leben gerufene Nachwuchspreis wird jährlich vergeben, seit 2019 in dreigeteilter</w:t>
      </w:r>
      <w:r w:rsidRPr="00D5153F">
        <w:rPr>
          <w:spacing w:val="-3"/>
          <w:lang w:val="de-CH"/>
        </w:rPr>
        <w:t xml:space="preserve"> </w:t>
      </w:r>
      <w:r w:rsidRPr="00D5153F">
        <w:rPr>
          <w:lang w:val="de-CH"/>
        </w:rPr>
        <w:t>Form.</w:t>
      </w:r>
      <w:r w:rsidRPr="00D5153F">
        <w:rPr>
          <w:spacing w:val="-3"/>
          <w:lang w:val="de-CH"/>
        </w:rPr>
        <w:t xml:space="preserve"> </w:t>
      </w:r>
      <w:r w:rsidRPr="00D5153F">
        <w:rPr>
          <w:lang w:val="de-CH"/>
        </w:rPr>
        <w:t>Er</w:t>
      </w:r>
      <w:r w:rsidRPr="00D5153F">
        <w:rPr>
          <w:spacing w:val="-3"/>
          <w:lang w:val="de-CH"/>
        </w:rPr>
        <w:t xml:space="preserve"> </w:t>
      </w:r>
      <w:r w:rsidRPr="00D5153F">
        <w:rPr>
          <w:lang w:val="de-CH"/>
        </w:rPr>
        <w:t>richtet</w:t>
      </w:r>
      <w:r w:rsidRPr="00D5153F">
        <w:rPr>
          <w:spacing w:val="-3"/>
          <w:lang w:val="de-CH"/>
        </w:rPr>
        <w:t xml:space="preserve"> </w:t>
      </w:r>
      <w:r w:rsidRPr="00D5153F">
        <w:rPr>
          <w:lang w:val="de-CH"/>
        </w:rPr>
        <w:t>sich</w:t>
      </w:r>
      <w:r w:rsidRPr="00D5153F">
        <w:rPr>
          <w:spacing w:val="-3"/>
          <w:lang w:val="de-CH"/>
        </w:rPr>
        <w:t xml:space="preserve"> </w:t>
      </w:r>
      <w:r w:rsidRPr="00D5153F">
        <w:rPr>
          <w:lang w:val="de-CH"/>
        </w:rPr>
        <w:t>an</w:t>
      </w:r>
      <w:r w:rsidRPr="00D5153F">
        <w:rPr>
          <w:spacing w:val="-3"/>
          <w:lang w:val="de-CH"/>
        </w:rPr>
        <w:t xml:space="preserve"> </w:t>
      </w:r>
      <w:r w:rsidRPr="00D5153F">
        <w:rPr>
          <w:lang w:val="de-CH"/>
        </w:rPr>
        <w:t>Forscherinnen</w:t>
      </w:r>
      <w:r w:rsidRPr="00D5153F">
        <w:rPr>
          <w:spacing w:val="-3"/>
          <w:lang w:val="de-CH"/>
        </w:rPr>
        <w:t xml:space="preserve"> </w:t>
      </w:r>
      <w:r w:rsidRPr="00D5153F">
        <w:rPr>
          <w:lang w:val="de-CH"/>
        </w:rPr>
        <w:t>und</w:t>
      </w:r>
      <w:r w:rsidRPr="00D5153F">
        <w:rPr>
          <w:spacing w:val="-3"/>
          <w:lang w:val="de-CH"/>
        </w:rPr>
        <w:t xml:space="preserve"> </w:t>
      </w:r>
      <w:r w:rsidRPr="00D5153F">
        <w:rPr>
          <w:lang w:val="de-CH"/>
        </w:rPr>
        <w:t>Forscher</w:t>
      </w:r>
      <w:r w:rsidRPr="00D5153F">
        <w:rPr>
          <w:spacing w:val="-3"/>
          <w:lang w:val="de-CH"/>
        </w:rPr>
        <w:t xml:space="preserve"> </w:t>
      </w:r>
      <w:r w:rsidRPr="00D5153F">
        <w:rPr>
          <w:lang w:val="de-CH"/>
        </w:rPr>
        <w:t>im</w:t>
      </w:r>
      <w:r w:rsidRPr="00D5153F">
        <w:rPr>
          <w:spacing w:val="-3"/>
          <w:lang w:val="de-CH"/>
        </w:rPr>
        <w:t xml:space="preserve"> </w:t>
      </w:r>
      <w:r w:rsidRPr="00D5153F">
        <w:rPr>
          <w:lang w:val="de-CH"/>
        </w:rPr>
        <w:t>Alter</w:t>
      </w:r>
      <w:r w:rsidRPr="00D5153F">
        <w:rPr>
          <w:spacing w:val="-3"/>
          <w:lang w:val="de-CH"/>
        </w:rPr>
        <w:t xml:space="preserve"> </w:t>
      </w:r>
      <w:r w:rsidRPr="00D5153F">
        <w:rPr>
          <w:lang w:val="de-CH"/>
        </w:rPr>
        <w:t>bis 38 Jahre und ist mit</w:t>
      </w:r>
      <w:r w:rsidR="00A902D5">
        <w:rPr>
          <w:lang w:val="de-CH"/>
        </w:rPr>
        <w:t xml:space="preserve"> </w:t>
      </w:r>
      <w:r w:rsidRPr="00D5153F">
        <w:rPr>
          <w:lang w:val="de-CH"/>
        </w:rPr>
        <w:t xml:space="preserve">insgesamt 18 000 Franken dotiert. Die Preisverleihung findet am </w:t>
      </w:r>
      <w:r w:rsidR="00667A5B">
        <w:rPr>
          <w:lang w:val="de-CH"/>
        </w:rPr>
        <w:t>21</w:t>
      </w:r>
      <w:r w:rsidRPr="00D5153F">
        <w:rPr>
          <w:lang w:val="de-CH"/>
        </w:rPr>
        <w:t>.</w:t>
      </w:r>
      <w:r w:rsidR="00A902D5">
        <w:rPr>
          <w:lang w:val="de-CH"/>
        </w:rPr>
        <w:t xml:space="preserve"> </w:t>
      </w:r>
      <w:r w:rsidR="00484091">
        <w:rPr>
          <w:lang w:val="de-CH"/>
        </w:rPr>
        <w:t>Mai</w:t>
      </w:r>
      <w:r w:rsidRPr="00D5153F">
        <w:rPr>
          <w:spacing w:val="-6"/>
          <w:lang w:val="de-CH"/>
        </w:rPr>
        <w:t xml:space="preserve"> </w:t>
      </w:r>
      <w:r w:rsidRPr="00D5153F">
        <w:rPr>
          <w:lang w:val="de-CH"/>
        </w:rPr>
        <w:t>im</w:t>
      </w:r>
      <w:r w:rsidRPr="00D5153F">
        <w:rPr>
          <w:spacing w:val="-6"/>
          <w:lang w:val="de-CH"/>
        </w:rPr>
        <w:t xml:space="preserve"> </w:t>
      </w:r>
      <w:r w:rsidRPr="00D5153F">
        <w:rPr>
          <w:lang w:val="de-CH"/>
        </w:rPr>
        <w:t>Rahmen</w:t>
      </w:r>
      <w:r w:rsidRPr="00D5153F">
        <w:rPr>
          <w:spacing w:val="-5"/>
          <w:lang w:val="de-CH"/>
        </w:rPr>
        <w:t xml:space="preserve"> </w:t>
      </w:r>
      <w:r w:rsidRPr="00D5153F">
        <w:rPr>
          <w:lang w:val="de-CH"/>
        </w:rPr>
        <w:t>der</w:t>
      </w:r>
      <w:r w:rsidRPr="00D5153F">
        <w:rPr>
          <w:spacing w:val="-6"/>
          <w:lang w:val="de-CH"/>
        </w:rPr>
        <w:t xml:space="preserve"> </w:t>
      </w:r>
      <w:r w:rsidRPr="00D5153F">
        <w:rPr>
          <w:lang w:val="de-CH"/>
        </w:rPr>
        <w:t>Jahresversammlung</w:t>
      </w:r>
      <w:r w:rsidRPr="00D5153F">
        <w:rPr>
          <w:spacing w:val="-5"/>
          <w:lang w:val="de-CH"/>
        </w:rPr>
        <w:t xml:space="preserve"> </w:t>
      </w:r>
      <w:r w:rsidRPr="00D5153F">
        <w:rPr>
          <w:lang w:val="de-CH"/>
        </w:rPr>
        <w:t>der</w:t>
      </w:r>
      <w:r w:rsidRPr="00D5153F">
        <w:rPr>
          <w:spacing w:val="-6"/>
          <w:lang w:val="de-CH"/>
        </w:rPr>
        <w:t xml:space="preserve"> </w:t>
      </w:r>
      <w:r w:rsidRPr="00D5153F">
        <w:rPr>
          <w:lang w:val="de-CH"/>
        </w:rPr>
        <w:t>SAGW</w:t>
      </w:r>
      <w:r w:rsidRPr="00D5153F">
        <w:rPr>
          <w:spacing w:val="-5"/>
          <w:lang w:val="de-CH"/>
        </w:rPr>
        <w:t xml:space="preserve"> </w:t>
      </w:r>
      <w:r w:rsidRPr="00D5153F">
        <w:rPr>
          <w:lang w:val="de-CH"/>
        </w:rPr>
        <w:t>in</w:t>
      </w:r>
      <w:r w:rsidRPr="00D5153F">
        <w:rPr>
          <w:spacing w:val="-6"/>
          <w:lang w:val="de-CH"/>
        </w:rPr>
        <w:t xml:space="preserve"> </w:t>
      </w:r>
      <w:r w:rsidR="00667A5B">
        <w:rPr>
          <w:lang w:val="de-CH"/>
        </w:rPr>
        <w:t>Chur</w:t>
      </w:r>
      <w:r w:rsidRPr="00D5153F">
        <w:rPr>
          <w:spacing w:val="-5"/>
          <w:lang w:val="de-CH"/>
        </w:rPr>
        <w:t xml:space="preserve"> </w:t>
      </w:r>
      <w:r w:rsidRPr="00D5153F">
        <w:rPr>
          <w:spacing w:val="-2"/>
          <w:lang w:val="de-CH"/>
        </w:rPr>
        <w:t>statt.</w:t>
      </w:r>
    </w:p>
    <w:p w14:paraId="515C4891" w14:textId="5C58D3F7" w:rsidR="00877B94" w:rsidRDefault="00877B94" w:rsidP="0089414E">
      <w:pPr>
        <w:pStyle w:val="Textkrper"/>
        <w:spacing w:line="276" w:lineRule="auto"/>
        <w:rPr>
          <w:lang w:val="de-CH"/>
        </w:rPr>
      </w:pPr>
    </w:p>
    <w:p w14:paraId="6DC31ECA" w14:textId="77777777" w:rsidR="00D71194" w:rsidRPr="00A902D5" w:rsidRDefault="00D71194" w:rsidP="00877B94">
      <w:pPr>
        <w:pStyle w:val="berschrift1"/>
        <w:rPr>
          <w:lang w:val="de-CH"/>
        </w:rPr>
      </w:pPr>
    </w:p>
    <w:p w14:paraId="56C89D25" w14:textId="21D11945" w:rsidR="00877B94" w:rsidRPr="000C0DEF" w:rsidRDefault="00877B94" w:rsidP="00D71194">
      <w:pPr>
        <w:pStyle w:val="berschrift1"/>
        <w:shd w:val="clear" w:color="auto" w:fill="DBE5F1" w:themeFill="accent1" w:themeFillTint="33"/>
      </w:pPr>
      <w:r w:rsidRPr="000C0DEF">
        <w:t xml:space="preserve">Die </w:t>
      </w:r>
      <w:proofErr w:type="spellStart"/>
      <w:r w:rsidRPr="000C0DEF">
        <w:t>prämierten</w:t>
      </w:r>
      <w:proofErr w:type="spellEnd"/>
      <w:r w:rsidRPr="000C0DEF">
        <w:t xml:space="preserve"> </w:t>
      </w:r>
      <w:proofErr w:type="spellStart"/>
      <w:r w:rsidRPr="000C0DEF">
        <w:t>Aufsätze</w:t>
      </w:r>
      <w:proofErr w:type="spellEnd"/>
    </w:p>
    <w:p w14:paraId="681EEA14" w14:textId="0506F419" w:rsidR="00877B94" w:rsidRPr="000C0DEF" w:rsidRDefault="00877B94" w:rsidP="00D71194">
      <w:pPr>
        <w:pStyle w:val="berschrift1"/>
        <w:shd w:val="clear" w:color="auto" w:fill="DBE5F1" w:themeFill="accent1" w:themeFillTint="33"/>
      </w:pPr>
    </w:p>
    <w:p w14:paraId="76CF1162" w14:textId="59F4B189" w:rsidR="00877B94" w:rsidRPr="000C0DEF" w:rsidRDefault="00877B94" w:rsidP="00D71194">
      <w:pPr>
        <w:pStyle w:val="berschrift1"/>
        <w:shd w:val="clear" w:color="auto" w:fill="DBE5F1" w:themeFill="accent1" w:themeFillTint="33"/>
      </w:pPr>
      <w:r w:rsidRPr="000C0DEF">
        <w:t>Gold</w:t>
      </w:r>
    </w:p>
    <w:p w14:paraId="6A3323FE" w14:textId="585F4BE8" w:rsidR="00877B94" w:rsidRPr="00C51D2C" w:rsidRDefault="001F004C" w:rsidP="00D71194">
      <w:pPr>
        <w:pStyle w:val="berschrift1"/>
        <w:shd w:val="clear" w:color="auto" w:fill="DBE5F1" w:themeFill="accent1" w:themeFillTint="33"/>
        <w:rPr>
          <w:b w:val="0"/>
          <w:bCs w:val="0"/>
        </w:rPr>
      </w:pPr>
      <w:proofErr w:type="spellStart"/>
      <w:r>
        <w:rPr>
          <w:b w:val="0"/>
          <w:bCs w:val="0"/>
        </w:rPr>
        <w:t>Foos</w:t>
      </w:r>
      <w:proofErr w:type="spellEnd"/>
      <w:r>
        <w:rPr>
          <w:b w:val="0"/>
          <w:bCs w:val="0"/>
        </w:rPr>
        <w:t>, Florian und Daniel Bischof</w:t>
      </w:r>
      <w:r w:rsidR="002A197D" w:rsidRPr="002A197D">
        <w:rPr>
          <w:b w:val="0"/>
          <w:bCs w:val="0"/>
        </w:rPr>
        <w:t xml:space="preserve"> (2021): </w:t>
      </w:r>
      <w:r w:rsidR="002A197D" w:rsidRPr="00C51D2C">
        <w:rPr>
          <w:b w:val="0"/>
          <w:bCs w:val="0"/>
        </w:rPr>
        <w:t>Tabloid Media Campaigns and Public Opinion: Quasi-Experimental Evidence on Euroscepticism in England, in: American Political Science Review</w:t>
      </w:r>
      <w:r w:rsidR="00161D4A" w:rsidRPr="00C51D2C">
        <w:rPr>
          <w:b w:val="0"/>
          <w:bCs w:val="0"/>
        </w:rPr>
        <w:t xml:space="preserve"> 116</w:t>
      </w:r>
      <w:r w:rsidR="00C51D2C">
        <w:rPr>
          <w:b w:val="0"/>
          <w:bCs w:val="0"/>
        </w:rPr>
        <w:t>,</w:t>
      </w:r>
      <w:r w:rsidR="00161D4A" w:rsidRPr="00C51D2C">
        <w:rPr>
          <w:b w:val="0"/>
          <w:bCs w:val="0"/>
        </w:rPr>
        <w:t xml:space="preserve">1, S. 19–37. </w:t>
      </w:r>
      <w:hyperlink r:id="rId5" w:history="1">
        <w:r w:rsidR="00EF7E6E" w:rsidRPr="00C51D2C">
          <w:rPr>
            <w:rStyle w:val="Hyperlink"/>
            <w:b w:val="0"/>
            <w:bCs w:val="0"/>
          </w:rPr>
          <w:t>https://doi.org/10.1017/S000305542100085X</w:t>
        </w:r>
      </w:hyperlink>
    </w:p>
    <w:p w14:paraId="3743099C" w14:textId="77777777" w:rsidR="00161D4A" w:rsidRPr="00C51D2C" w:rsidRDefault="00161D4A" w:rsidP="00D71194">
      <w:pPr>
        <w:pStyle w:val="berschrift1"/>
        <w:shd w:val="clear" w:color="auto" w:fill="DBE5F1" w:themeFill="accent1" w:themeFillTint="33"/>
        <w:rPr>
          <w:b w:val="0"/>
          <w:bCs w:val="0"/>
        </w:rPr>
      </w:pPr>
    </w:p>
    <w:p w14:paraId="4D187263" w14:textId="1B4BB282" w:rsidR="00877B94" w:rsidRPr="00C51D2C" w:rsidRDefault="00877B94" w:rsidP="00D71194">
      <w:pPr>
        <w:pStyle w:val="berschrift1"/>
        <w:shd w:val="clear" w:color="auto" w:fill="DBE5F1" w:themeFill="accent1" w:themeFillTint="33"/>
      </w:pPr>
      <w:r w:rsidRPr="00C51D2C">
        <w:t>Silber</w:t>
      </w:r>
    </w:p>
    <w:p w14:paraId="68C1CA12" w14:textId="55694568" w:rsidR="00486F1A" w:rsidRPr="00D16F99" w:rsidRDefault="00161D4A" w:rsidP="00D71194">
      <w:pPr>
        <w:pStyle w:val="berschrift1"/>
        <w:shd w:val="clear" w:color="auto" w:fill="DBE5F1" w:themeFill="accent1" w:themeFillTint="33"/>
        <w:rPr>
          <w:b w:val="0"/>
          <w:bCs w:val="0"/>
          <w:lang w:val="it-CH"/>
        </w:rPr>
      </w:pPr>
      <w:r w:rsidRPr="00C51D2C">
        <w:rPr>
          <w:b w:val="0"/>
          <w:bCs w:val="0"/>
        </w:rPr>
        <w:t>Frey, Felix und Ann</w:t>
      </w:r>
      <w:r w:rsidR="00C465B6">
        <w:rPr>
          <w:b w:val="0"/>
          <w:bCs w:val="0"/>
        </w:rPr>
        <w:t>e</w:t>
      </w:r>
      <w:r w:rsidRPr="00C51D2C">
        <w:rPr>
          <w:b w:val="0"/>
          <w:bCs w:val="0"/>
        </w:rPr>
        <w:t xml:space="preserve"> </w:t>
      </w:r>
      <w:r w:rsidR="00A8199D">
        <w:rPr>
          <w:b w:val="0"/>
          <w:bCs w:val="0"/>
        </w:rPr>
        <w:t xml:space="preserve">E. </w:t>
      </w:r>
      <w:proofErr w:type="spellStart"/>
      <w:r w:rsidRPr="00C51D2C">
        <w:rPr>
          <w:b w:val="0"/>
          <w:bCs w:val="0"/>
        </w:rPr>
        <w:t>Hasselmann</w:t>
      </w:r>
      <w:proofErr w:type="spellEnd"/>
      <w:r w:rsidRPr="00C51D2C">
        <w:rPr>
          <w:b w:val="0"/>
          <w:bCs w:val="0"/>
        </w:rPr>
        <w:t xml:space="preserve"> (2021): Stones at War, The Chelyabinsk War Exhibition of </w:t>
      </w:r>
      <w:proofErr w:type="gramStart"/>
      <w:r w:rsidRPr="00C51D2C">
        <w:rPr>
          <w:b w:val="0"/>
          <w:bCs w:val="0"/>
        </w:rPr>
        <w:t>1946</w:t>
      </w:r>
      <w:proofErr w:type="gramEnd"/>
      <w:r w:rsidRPr="00C51D2C">
        <w:rPr>
          <w:b w:val="0"/>
          <w:bCs w:val="0"/>
        </w:rPr>
        <w:t xml:space="preserve"> and Soviet Environmental Thought, in: Environmental History 26</w:t>
      </w:r>
      <w:r w:rsidR="00C51D2C">
        <w:rPr>
          <w:b w:val="0"/>
          <w:bCs w:val="0"/>
        </w:rPr>
        <w:t>,</w:t>
      </w:r>
      <w:r w:rsidRPr="00C51D2C">
        <w:rPr>
          <w:b w:val="0"/>
          <w:bCs w:val="0"/>
        </w:rPr>
        <w:t>3, S. 533–554.</w:t>
      </w:r>
      <w:r w:rsidR="00EF7E6E" w:rsidRPr="00C51D2C">
        <w:rPr>
          <w:b w:val="0"/>
          <w:bCs w:val="0"/>
        </w:rPr>
        <w:t xml:space="preserve"> </w:t>
      </w:r>
      <w:hyperlink r:id="rId6" w:history="1">
        <w:r w:rsidR="00486F1A" w:rsidRPr="00D16F99">
          <w:rPr>
            <w:rStyle w:val="Hyperlink"/>
            <w:b w:val="0"/>
            <w:bCs w:val="0"/>
            <w:lang w:val="it-CH"/>
          </w:rPr>
          <w:t>https://doi.org/10.1093/envhis/emab021</w:t>
        </w:r>
      </w:hyperlink>
    </w:p>
    <w:p w14:paraId="050EE0B9" w14:textId="01B953AE" w:rsidR="00877B94" w:rsidRPr="00D71194" w:rsidRDefault="00EF7E6E" w:rsidP="00D71194">
      <w:pPr>
        <w:pStyle w:val="berschrift1"/>
        <w:shd w:val="clear" w:color="auto" w:fill="DBE5F1" w:themeFill="accent1" w:themeFillTint="33"/>
        <w:rPr>
          <w:b w:val="0"/>
          <w:bCs w:val="0"/>
          <w:lang w:val="it-CH"/>
        </w:rPr>
      </w:pPr>
      <w:r w:rsidRPr="00D16F99">
        <w:rPr>
          <w:b w:val="0"/>
          <w:bCs w:val="0"/>
          <w:lang w:val="it-CH"/>
        </w:rPr>
        <w:t xml:space="preserve"> </w:t>
      </w:r>
    </w:p>
    <w:p w14:paraId="66642994" w14:textId="6D9164CD" w:rsidR="00877B94" w:rsidRPr="00D16F99" w:rsidRDefault="00877B94" w:rsidP="00D71194">
      <w:pPr>
        <w:pStyle w:val="berschrift1"/>
        <w:shd w:val="clear" w:color="auto" w:fill="DBE5F1" w:themeFill="accent1" w:themeFillTint="33"/>
        <w:rPr>
          <w:lang w:val="it-CH"/>
        </w:rPr>
      </w:pPr>
      <w:r w:rsidRPr="00D16F99">
        <w:rPr>
          <w:lang w:val="it-CH"/>
        </w:rPr>
        <w:t>Bronze</w:t>
      </w:r>
    </w:p>
    <w:p w14:paraId="001F23BB" w14:textId="7C4F8799" w:rsidR="00877B94" w:rsidRPr="00D16F99" w:rsidRDefault="00161D4A" w:rsidP="00D71194">
      <w:pPr>
        <w:pStyle w:val="berschrift1"/>
        <w:shd w:val="clear" w:color="auto" w:fill="DBE5F1" w:themeFill="accent1" w:themeFillTint="33"/>
        <w:rPr>
          <w:b w:val="0"/>
          <w:bCs w:val="0"/>
          <w:lang w:val="de-CH"/>
        </w:rPr>
      </w:pPr>
      <w:r w:rsidRPr="00D16F99">
        <w:rPr>
          <w:b w:val="0"/>
          <w:bCs w:val="0"/>
          <w:lang w:val="it-CH"/>
        </w:rPr>
        <w:t>Cavadini, Thalia</w:t>
      </w:r>
      <w:r w:rsidR="00C51D2C" w:rsidRPr="00D16F99">
        <w:rPr>
          <w:b w:val="0"/>
          <w:bCs w:val="0"/>
          <w:lang w:val="it-CH"/>
        </w:rPr>
        <w:t xml:space="preserve"> et al. </w:t>
      </w:r>
      <w:r w:rsidR="00EF7E6E" w:rsidRPr="00C51D2C">
        <w:rPr>
          <w:b w:val="0"/>
          <w:bCs w:val="0"/>
        </w:rPr>
        <w:t xml:space="preserve">(2021): </w:t>
      </w:r>
      <w:r w:rsidRPr="00C51D2C">
        <w:rPr>
          <w:b w:val="0"/>
          <w:bCs w:val="0"/>
        </w:rPr>
        <w:t xml:space="preserve">Emotion knowledge, social </w:t>
      </w:r>
      <w:proofErr w:type="spellStart"/>
      <w:r w:rsidRPr="00C51D2C">
        <w:rPr>
          <w:b w:val="0"/>
          <w:bCs w:val="0"/>
        </w:rPr>
        <w:t>behaviour</w:t>
      </w:r>
      <w:proofErr w:type="spellEnd"/>
      <w:r w:rsidRPr="00C51D2C">
        <w:rPr>
          <w:b w:val="0"/>
          <w:bCs w:val="0"/>
        </w:rPr>
        <w:t xml:space="preserve"> and locomotor activity predict the mathematic performance in 706 preschool children, in: </w:t>
      </w:r>
      <w:r w:rsidR="00C35910" w:rsidRPr="00C35910">
        <w:rPr>
          <w:b w:val="0"/>
          <w:bCs w:val="0"/>
        </w:rPr>
        <w:t>Scientific Reports (Nature Publishing Group)</w:t>
      </w:r>
      <w:r w:rsidRPr="00C51D2C">
        <w:rPr>
          <w:b w:val="0"/>
          <w:bCs w:val="0"/>
        </w:rPr>
        <w:t>, 1</w:t>
      </w:r>
      <w:r w:rsidR="00C51D2C">
        <w:rPr>
          <w:b w:val="0"/>
          <w:bCs w:val="0"/>
        </w:rPr>
        <w:t>1,</w:t>
      </w:r>
      <w:r w:rsidRPr="00C51D2C">
        <w:rPr>
          <w:b w:val="0"/>
          <w:bCs w:val="0"/>
        </w:rPr>
        <w:t>14399</w:t>
      </w:r>
      <w:r w:rsidR="00EF7E6E" w:rsidRPr="00C51D2C">
        <w:rPr>
          <w:b w:val="0"/>
          <w:bCs w:val="0"/>
        </w:rPr>
        <w:t xml:space="preserve">. </w:t>
      </w:r>
      <w:hyperlink r:id="rId7" w:history="1">
        <w:r w:rsidR="00EF7E6E" w:rsidRPr="00D16F99">
          <w:rPr>
            <w:rStyle w:val="Hyperlink"/>
            <w:b w:val="0"/>
            <w:bCs w:val="0"/>
            <w:lang w:val="de-CH"/>
          </w:rPr>
          <w:t>https://doi.org/10.1038/s41598-021-93706-7</w:t>
        </w:r>
      </w:hyperlink>
      <w:r w:rsidR="00EF7E6E" w:rsidRPr="00D16F99">
        <w:rPr>
          <w:b w:val="0"/>
          <w:bCs w:val="0"/>
          <w:lang w:val="de-CH"/>
        </w:rPr>
        <w:t xml:space="preserve">  </w:t>
      </w:r>
    </w:p>
    <w:p w14:paraId="756ED69D" w14:textId="77777777" w:rsidR="009D38C3" w:rsidRPr="00D16F99" w:rsidRDefault="009D38C3" w:rsidP="007D60A7">
      <w:pPr>
        <w:pStyle w:val="Textkrper"/>
        <w:spacing w:before="3" w:line="276" w:lineRule="auto"/>
        <w:rPr>
          <w:sz w:val="20"/>
          <w:lang w:val="de-CH"/>
        </w:rPr>
      </w:pPr>
    </w:p>
    <w:p w14:paraId="4E374F5D" w14:textId="3AEC725D" w:rsidR="00D71194" w:rsidRDefault="00D71194" w:rsidP="007D60A7">
      <w:pPr>
        <w:pStyle w:val="berschrift1"/>
        <w:spacing w:before="59" w:line="276" w:lineRule="auto"/>
        <w:rPr>
          <w:spacing w:val="-2"/>
          <w:lang w:val="de-CH"/>
        </w:rPr>
      </w:pPr>
    </w:p>
    <w:p w14:paraId="630E875E" w14:textId="48272A89" w:rsidR="00D71194" w:rsidRPr="00D71194" w:rsidRDefault="00D71194" w:rsidP="00D71194">
      <w:pPr>
        <w:pStyle w:val="berschrift1"/>
        <w:rPr>
          <w:lang w:val="de-CH"/>
        </w:rPr>
      </w:pPr>
      <w:r w:rsidRPr="00D71194">
        <w:rPr>
          <w:lang w:val="de-CH"/>
        </w:rPr>
        <w:t>Bilder</w:t>
      </w:r>
    </w:p>
    <w:p w14:paraId="1BEC2085" w14:textId="1BFF4086" w:rsidR="00D71194" w:rsidRDefault="00D71194" w:rsidP="00D71194">
      <w:pPr>
        <w:pStyle w:val="Textkrper"/>
        <w:spacing w:line="276" w:lineRule="auto"/>
        <w:rPr>
          <w:lang w:val="de-CH"/>
        </w:rPr>
      </w:pPr>
      <w:r w:rsidRPr="00D71194">
        <w:rPr>
          <w:lang w:val="de-CH"/>
        </w:rPr>
        <w:t xml:space="preserve">CVs und Fotos der Preisträgerinnen und Preisträger finden Sie unter: </w:t>
      </w:r>
      <w:hyperlink r:id="rId8" w:history="1">
        <w:r w:rsidRPr="00D71194">
          <w:rPr>
            <w:rStyle w:val="Hyperlink"/>
            <w:lang w:val="de-CH"/>
          </w:rPr>
          <w:t>www.sagw.ch/nwp-22</w:t>
        </w:r>
      </w:hyperlink>
      <w:r w:rsidRPr="00D71194">
        <w:rPr>
          <w:lang w:val="de-CH"/>
        </w:rPr>
        <w:t xml:space="preserve"> </w:t>
      </w:r>
    </w:p>
    <w:p w14:paraId="2A5B0AC8" w14:textId="77777777" w:rsidR="00D71194" w:rsidRPr="00D71194" w:rsidRDefault="00D71194" w:rsidP="00D71194">
      <w:pPr>
        <w:pStyle w:val="Textkrper"/>
        <w:spacing w:line="276" w:lineRule="auto"/>
        <w:rPr>
          <w:lang w:val="de-CH"/>
        </w:rPr>
      </w:pPr>
    </w:p>
    <w:p w14:paraId="382C373A" w14:textId="0346CD1C" w:rsidR="009D38C3" w:rsidRPr="00D5153F" w:rsidRDefault="0089414E" w:rsidP="007D60A7">
      <w:pPr>
        <w:pStyle w:val="berschrift1"/>
        <w:spacing w:before="59" w:line="276" w:lineRule="auto"/>
        <w:rPr>
          <w:lang w:val="de-CH"/>
        </w:rPr>
      </w:pPr>
      <w:r>
        <w:rPr>
          <w:spacing w:val="-2"/>
          <w:lang w:val="de-CH"/>
        </w:rPr>
        <w:t>Medienkontakt</w:t>
      </w:r>
    </w:p>
    <w:p w14:paraId="694ACA10" w14:textId="2EF42A44" w:rsidR="0089414E" w:rsidRDefault="00342F9C" w:rsidP="007D60A7">
      <w:pPr>
        <w:pStyle w:val="Textkrper"/>
        <w:spacing w:before="47" w:line="276" w:lineRule="auto"/>
        <w:ind w:right="7851"/>
        <w:rPr>
          <w:lang w:val="de-CH"/>
        </w:rPr>
      </w:pPr>
      <w:r>
        <w:rPr>
          <w:lang w:val="de-CH"/>
        </w:rPr>
        <w:t>Heinz Nauer</w:t>
      </w:r>
    </w:p>
    <w:p w14:paraId="68064AF7" w14:textId="1A03D394" w:rsidR="00342F9C" w:rsidRDefault="00342F9C" w:rsidP="00342F9C">
      <w:pPr>
        <w:pStyle w:val="Textkrper"/>
        <w:spacing w:before="47" w:line="276" w:lineRule="auto"/>
        <w:ind w:right="144"/>
        <w:rPr>
          <w:lang w:val="de-CH"/>
        </w:rPr>
      </w:pPr>
      <w:r>
        <w:rPr>
          <w:lang w:val="de-CH"/>
        </w:rPr>
        <w:t>Co-Verantwortlicher Wissenschaftskommunikation</w:t>
      </w:r>
    </w:p>
    <w:p w14:paraId="134F7F05" w14:textId="5A05E377" w:rsidR="009D38C3" w:rsidRPr="00D5153F" w:rsidRDefault="001C1A7E" w:rsidP="007D60A7">
      <w:pPr>
        <w:pStyle w:val="Textkrper"/>
        <w:spacing w:before="47" w:line="276" w:lineRule="auto"/>
        <w:ind w:right="7851"/>
        <w:rPr>
          <w:lang w:val="de-CH"/>
        </w:rPr>
      </w:pPr>
      <w:r w:rsidRPr="00D5153F">
        <w:rPr>
          <w:lang w:val="de-CH"/>
        </w:rPr>
        <w:t>031</w:t>
      </w:r>
      <w:r w:rsidRPr="00D5153F">
        <w:rPr>
          <w:spacing w:val="-13"/>
          <w:lang w:val="de-CH"/>
        </w:rPr>
        <w:t xml:space="preserve"> </w:t>
      </w:r>
      <w:r w:rsidRPr="00D5153F">
        <w:rPr>
          <w:lang w:val="de-CH"/>
        </w:rPr>
        <w:t>306</w:t>
      </w:r>
      <w:r w:rsidRPr="00D5153F">
        <w:rPr>
          <w:spacing w:val="-13"/>
          <w:lang w:val="de-CH"/>
        </w:rPr>
        <w:t xml:space="preserve"> </w:t>
      </w:r>
      <w:r w:rsidRPr="00D5153F">
        <w:rPr>
          <w:lang w:val="de-CH"/>
        </w:rPr>
        <w:t>92</w:t>
      </w:r>
      <w:r w:rsidRPr="00D5153F">
        <w:rPr>
          <w:spacing w:val="-13"/>
          <w:lang w:val="de-CH"/>
        </w:rPr>
        <w:t xml:space="preserve"> </w:t>
      </w:r>
      <w:r w:rsidR="0089414E">
        <w:rPr>
          <w:spacing w:val="-13"/>
          <w:lang w:val="de-CH"/>
        </w:rPr>
        <w:t>50/</w:t>
      </w:r>
      <w:r w:rsidRPr="00D5153F">
        <w:rPr>
          <w:lang w:val="de-CH"/>
        </w:rPr>
        <w:t>5</w:t>
      </w:r>
      <w:r w:rsidR="00342F9C">
        <w:rPr>
          <w:lang w:val="de-CH"/>
        </w:rPr>
        <w:t>5</w:t>
      </w:r>
    </w:p>
    <w:p w14:paraId="72F70E92" w14:textId="3EF8BE52" w:rsidR="009D38C3" w:rsidRPr="00D5153F" w:rsidRDefault="00342F9C" w:rsidP="007D60A7">
      <w:pPr>
        <w:pStyle w:val="Textkrper"/>
        <w:spacing w:line="276" w:lineRule="auto"/>
        <w:rPr>
          <w:sz w:val="20"/>
          <w:lang w:val="de-CH"/>
        </w:rPr>
      </w:pPr>
      <w:r>
        <w:rPr>
          <w:spacing w:val="-2"/>
          <w:lang w:val="de-CH"/>
        </w:rPr>
        <w:t>heinz.nauer@sagw.ch</w:t>
      </w:r>
    </w:p>
    <w:sectPr w:rsidR="009D38C3" w:rsidRPr="00D5153F" w:rsidSect="00161D4A">
      <w:pgSz w:w="11900" w:h="16840"/>
      <w:pgMar w:top="1600" w:right="1200" w:bottom="1013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C3"/>
    <w:rsid w:val="00027048"/>
    <w:rsid w:val="0005054D"/>
    <w:rsid w:val="00080138"/>
    <w:rsid w:val="000C0DEF"/>
    <w:rsid w:val="000D61CC"/>
    <w:rsid w:val="000F0A8E"/>
    <w:rsid w:val="000F542C"/>
    <w:rsid w:val="00104719"/>
    <w:rsid w:val="00125369"/>
    <w:rsid w:val="00133E58"/>
    <w:rsid w:val="00161D4A"/>
    <w:rsid w:val="001B6339"/>
    <w:rsid w:val="001C0763"/>
    <w:rsid w:val="001C1A7E"/>
    <w:rsid w:val="001D0DAD"/>
    <w:rsid w:val="001F004C"/>
    <w:rsid w:val="00283C19"/>
    <w:rsid w:val="0029750E"/>
    <w:rsid w:val="002A197D"/>
    <w:rsid w:val="00335250"/>
    <w:rsid w:val="00342F9C"/>
    <w:rsid w:val="00373F7E"/>
    <w:rsid w:val="003A057D"/>
    <w:rsid w:val="003B4E6D"/>
    <w:rsid w:val="003B6613"/>
    <w:rsid w:val="003F3E35"/>
    <w:rsid w:val="004349CB"/>
    <w:rsid w:val="0044730D"/>
    <w:rsid w:val="00484091"/>
    <w:rsid w:val="00484B80"/>
    <w:rsid w:val="00486F1A"/>
    <w:rsid w:val="00487D3F"/>
    <w:rsid w:val="00491317"/>
    <w:rsid w:val="004959D4"/>
    <w:rsid w:val="004A4870"/>
    <w:rsid w:val="004E5B9E"/>
    <w:rsid w:val="0054346C"/>
    <w:rsid w:val="00554037"/>
    <w:rsid w:val="00555BBE"/>
    <w:rsid w:val="005814A2"/>
    <w:rsid w:val="005D7216"/>
    <w:rsid w:val="005F378A"/>
    <w:rsid w:val="006436A5"/>
    <w:rsid w:val="00652C6F"/>
    <w:rsid w:val="00661524"/>
    <w:rsid w:val="00667A5B"/>
    <w:rsid w:val="006828ED"/>
    <w:rsid w:val="006A6258"/>
    <w:rsid w:val="006B7D50"/>
    <w:rsid w:val="006C2F4C"/>
    <w:rsid w:val="00701D6A"/>
    <w:rsid w:val="00717FF7"/>
    <w:rsid w:val="00765FB1"/>
    <w:rsid w:val="007914A7"/>
    <w:rsid w:val="007D07F2"/>
    <w:rsid w:val="007D60A7"/>
    <w:rsid w:val="007D76A7"/>
    <w:rsid w:val="007E4FC7"/>
    <w:rsid w:val="007E54E2"/>
    <w:rsid w:val="00850224"/>
    <w:rsid w:val="00854499"/>
    <w:rsid w:val="00877B94"/>
    <w:rsid w:val="008907BD"/>
    <w:rsid w:val="00893DA3"/>
    <w:rsid w:val="0089414E"/>
    <w:rsid w:val="008A38ED"/>
    <w:rsid w:val="008B1DD2"/>
    <w:rsid w:val="008D3B54"/>
    <w:rsid w:val="00910FD9"/>
    <w:rsid w:val="0091780D"/>
    <w:rsid w:val="009D38C3"/>
    <w:rsid w:val="009D42C5"/>
    <w:rsid w:val="009D52F1"/>
    <w:rsid w:val="009F1C17"/>
    <w:rsid w:val="00A02F82"/>
    <w:rsid w:val="00A04219"/>
    <w:rsid w:val="00A10F0F"/>
    <w:rsid w:val="00A14C12"/>
    <w:rsid w:val="00A30D57"/>
    <w:rsid w:val="00A715FC"/>
    <w:rsid w:val="00A8199D"/>
    <w:rsid w:val="00A902D5"/>
    <w:rsid w:val="00AA56EC"/>
    <w:rsid w:val="00AD1387"/>
    <w:rsid w:val="00AF7869"/>
    <w:rsid w:val="00B26A45"/>
    <w:rsid w:val="00BA0B3E"/>
    <w:rsid w:val="00BF69D3"/>
    <w:rsid w:val="00C35910"/>
    <w:rsid w:val="00C465B6"/>
    <w:rsid w:val="00C51844"/>
    <w:rsid w:val="00C51D2C"/>
    <w:rsid w:val="00C57B68"/>
    <w:rsid w:val="00CC334E"/>
    <w:rsid w:val="00CD15AC"/>
    <w:rsid w:val="00CF0BF7"/>
    <w:rsid w:val="00D158CD"/>
    <w:rsid w:val="00D16F99"/>
    <w:rsid w:val="00D17578"/>
    <w:rsid w:val="00D47C87"/>
    <w:rsid w:val="00D5153F"/>
    <w:rsid w:val="00D71194"/>
    <w:rsid w:val="00D825B7"/>
    <w:rsid w:val="00D84291"/>
    <w:rsid w:val="00DB5673"/>
    <w:rsid w:val="00DB5B00"/>
    <w:rsid w:val="00E712A8"/>
    <w:rsid w:val="00E758F6"/>
    <w:rsid w:val="00E81CCF"/>
    <w:rsid w:val="00E840CF"/>
    <w:rsid w:val="00EC7EE1"/>
    <w:rsid w:val="00ED3CD8"/>
    <w:rsid w:val="00EE06BC"/>
    <w:rsid w:val="00EF7E6E"/>
    <w:rsid w:val="00F45365"/>
    <w:rsid w:val="00F541AB"/>
    <w:rsid w:val="00F83724"/>
    <w:rsid w:val="00F97929"/>
    <w:rsid w:val="00FA0EB7"/>
    <w:rsid w:val="00FD39C7"/>
    <w:rsid w:val="00FD5787"/>
    <w:rsid w:val="00FD6A25"/>
    <w:rsid w:val="00FF5A0A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F4057"/>
  <w15:docId w15:val="{18FCECCE-4902-534A-BBAD-413F7BAA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" w:eastAsia="Helvetica" w:hAnsi="Helvetica" w:cs="Helvetica"/>
    </w:rPr>
  </w:style>
  <w:style w:type="paragraph" w:styleId="berschrift1">
    <w:name w:val="heading 1"/>
    <w:basedOn w:val="Standard"/>
    <w:uiPriority w:val="9"/>
    <w:qFormat/>
    <w:rsid w:val="00D71194"/>
    <w:pPr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213" w:right="469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berarbeitung">
    <w:name w:val="Revision"/>
    <w:hidden/>
    <w:uiPriority w:val="99"/>
    <w:semiHidden/>
    <w:rsid w:val="00484091"/>
    <w:pPr>
      <w:widowControl/>
      <w:autoSpaceDE/>
      <w:autoSpaceDN/>
    </w:pPr>
    <w:rPr>
      <w:rFonts w:ascii="Helvetica" w:eastAsia="Helvetica" w:hAnsi="Helvetica" w:cs="Helvetic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40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40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4091"/>
    <w:rPr>
      <w:rFonts w:ascii="Helvetica" w:eastAsia="Helvetica" w:hAnsi="Helvetica" w:cs="Helvetic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40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4091"/>
    <w:rPr>
      <w:rFonts w:ascii="Helvetica" w:eastAsia="Helvetica" w:hAnsi="Helvetica" w:cs="Helvetica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EF7E6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7E6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51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w.ch/nwp-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8/s41598-021-93706-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3/envhis/emab021" TargetMode="External"/><Relationship Id="rId5" Type="http://schemas.openxmlformats.org/officeDocument/2006/relationships/hyperlink" Target="https://doi.org/10.1017/S000305542100085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7247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MM_Nachwuchspreis_2020_de</vt:lpstr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MM_Nachwuchspreis_2020_de</dc:title>
  <dc:creator>Beatrice Kübli</dc:creator>
  <cp:lastModifiedBy>SAGW</cp:lastModifiedBy>
  <cp:revision>4</cp:revision>
  <dcterms:created xsi:type="dcterms:W3CDTF">2022-05-19T13:26:00Z</dcterms:created>
  <dcterms:modified xsi:type="dcterms:W3CDTF">2022-05-19T15:30:00Z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Word</vt:lpwstr>
  </property>
  <property fmtid="{D5CDD505-2E9C-101B-9397-08002B2CF9AE}" pid="4" name="LastSaved">
    <vt:filetime>2022-05-10T00:00:00Z</vt:filetime>
  </property>
</Properties>
</file>