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8FB0" w14:textId="77777777" w:rsidR="009D38C3" w:rsidRDefault="001C1A7E" w:rsidP="00C57B68">
      <w:pPr>
        <w:pStyle w:val="Textkrper"/>
        <w:jc w:val="right"/>
        <w:rPr>
          <w:rFonts w:ascii="Times New Roman"/>
          <w:sz w:val="20"/>
        </w:rPr>
      </w:pPr>
      <w:r>
        <w:rPr>
          <w:rFonts w:ascii="Times New Roman"/>
          <w:noProof/>
          <w:sz w:val="20"/>
        </w:rPr>
        <w:drawing>
          <wp:inline distT="0" distB="0" distL="0" distR="0" wp14:anchorId="3B366836" wp14:editId="3148ADFE">
            <wp:extent cx="4481810" cy="838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481810" cy="838200"/>
                    </a:xfrm>
                    <a:prstGeom prst="rect">
                      <a:avLst/>
                    </a:prstGeom>
                  </pic:spPr>
                </pic:pic>
              </a:graphicData>
            </a:graphic>
          </wp:inline>
        </w:drawing>
      </w:r>
    </w:p>
    <w:p w14:paraId="6C693C6F" w14:textId="77777777" w:rsidR="009D38C3" w:rsidRDefault="009D38C3">
      <w:pPr>
        <w:pStyle w:val="Textkrper"/>
        <w:rPr>
          <w:rFonts w:ascii="Times New Roman"/>
          <w:sz w:val="20"/>
        </w:rPr>
      </w:pPr>
    </w:p>
    <w:p w14:paraId="1C4064F0" w14:textId="69F26756" w:rsidR="009D38C3" w:rsidRDefault="009D38C3">
      <w:pPr>
        <w:pStyle w:val="Textkrper"/>
        <w:rPr>
          <w:rFonts w:ascii="Times New Roman"/>
          <w:sz w:val="20"/>
        </w:rPr>
      </w:pPr>
    </w:p>
    <w:p w14:paraId="6D6D1357" w14:textId="47569FDE" w:rsidR="009D38C3" w:rsidRPr="00B412ED" w:rsidRDefault="001C1E9C" w:rsidP="007D60A7">
      <w:pPr>
        <w:pStyle w:val="Textkrper"/>
        <w:spacing w:before="196" w:line="276" w:lineRule="auto"/>
        <w:rPr>
          <w:color w:val="000000" w:themeColor="text1"/>
          <w:lang w:val="fr-CH"/>
        </w:rPr>
      </w:pPr>
      <w:r w:rsidRPr="00B412ED">
        <w:rPr>
          <w:color w:val="000000" w:themeColor="text1"/>
          <w:spacing w:val="-2"/>
          <w:lang w:val="fr-CH"/>
        </w:rPr>
        <w:t>Communiqué aux médias</w:t>
      </w:r>
      <w:r w:rsidR="004C6F4C" w:rsidRPr="00B412ED">
        <w:rPr>
          <w:color w:val="000000" w:themeColor="text1"/>
          <w:spacing w:val="-2"/>
          <w:lang w:val="fr-CH"/>
        </w:rPr>
        <w:t xml:space="preserve"> – Berne, le 1</w:t>
      </w:r>
      <w:r w:rsidR="00986643">
        <w:rPr>
          <w:color w:val="000000" w:themeColor="text1"/>
          <w:spacing w:val="-2"/>
          <w:lang w:val="fr-CH"/>
        </w:rPr>
        <w:t>9</w:t>
      </w:r>
      <w:r w:rsidR="004C6F4C" w:rsidRPr="00B412ED">
        <w:rPr>
          <w:color w:val="000000" w:themeColor="text1"/>
          <w:spacing w:val="-2"/>
          <w:lang w:val="fr-CH"/>
        </w:rPr>
        <w:t xml:space="preserve"> mai 2022</w:t>
      </w:r>
      <w:r w:rsidRPr="00B412ED">
        <w:rPr>
          <w:color w:val="000000" w:themeColor="text1"/>
          <w:spacing w:val="-2"/>
          <w:lang w:val="fr-CH"/>
        </w:rPr>
        <w:t xml:space="preserve"> </w:t>
      </w:r>
      <w:r w:rsidR="005D7216" w:rsidRPr="00B412ED">
        <w:rPr>
          <w:color w:val="000000" w:themeColor="text1"/>
          <w:spacing w:val="-2"/>
          <w:lang w:val="fr-CH"/>
        </w:rPr>
        <w:t>|</w:t>
      </w:r>
      <w:r w:rsidR="00283C19" w:rsidRPr="00B412ED">
        <w:rPr>
          <w:color w:val="000000" w:themeColor="text1"/>
          <w:spacing w:val="-2"/>
          <w:lang w:val="fr-CH"/>
        </w:rPr>
        <w:t xml:space="preserve"> </w:t>
      </w:r>
      <w:r w:rsidRPr="00B412ED">
        <w:rPr>
          <w:color w:val="000000" w:themeColor="text1"/>
          <w:spacing w:val="-2"/>
          <w:lang w:val="fr-CH"/>
        </w:rPr>
        <w:t>Embargo :</w:t>
      </w:r>
      <w:r w:rsidR="00283C19" w:rsidRPr="00B412ED">
        <w:rPr>
          <w:color w:val="000000" w:themeColor="text1"/>
          <w:spacing w:val="-2"/>
          <w:lang w:val="fr-CH"/>
        </w:rPr>
        <w:t xml:space="preserve"> 21</w:t>
      </w:r>
      <w:r w:rsidRPr="00B412ED">
        <w:rPr>
          <w:color w:val="000000" w:themeColor="text1"/>
          <w:spacing w:val="-2"/>
          <w:lang w:val="fr-CH"/>
        </w:rPr>
        <w:t xml:space="preserve"> m</w:t>
      </w:r>
      <w:r w:rsidR="00283C19" w:rsidRPr="00B412ED">
        <w:rPr>
          <w:color w:val="000000" w:themeColor="text1"/>
          <w:spacing w:val="-2"/>
          <w:lang w:val="fr-CH"/>
        </w:rPr>
        <w:t xml:space="preserve">ai, </w:t>
      </w:r>
      <w:r w:rsidR="004E43D9">
        <w:rPr>
          <w:color w:val="000000" w:themeColor="text1"/>
          <w:spacing w:val="-2"/>
          <w:lang w:val="fr-CH"/>
        </w:rPr>
        <w:t>12h00</w:t>
      </w:r>
    </w:p>
    <w:p w14:paraId="0DA474DC" w14:textId="77777777" w:rsidR="005F378A" w:rsidRPr="00B412ED" w:rsidRDefault="005F378A" w:rsidP="007D60A7">
      <w:pPr>
        <w:pStyle w:val="Textkrper"/>
        <w:spacing w:before="8" w:line="276" w:lineRule="auto"/>
        <w:rPr>
          <w:sz w:val="29"/>
          <w:lang w:val="fr-CH"/>
        </w:rPr>
      </w:pPr>
    </w:p>
    <w:p w14:paraId="6F2C2C52" w14:textId="222F6150" w:rsidR="009D38C3" w:rsidRPr="00B412ED" w:rsidRDefault="001C1E9C" w:rsidP="007D60A7">
      <w:pPr>
        <w:pStyle w:val="Titel"/>
        <w:spacing w:line="276" w:lineRule="auto"/>
        <w:ind w:left="0"/>
        <w:rPr>
          <w:lang w:val="fr-CH"/>
        </w:rPr>
      </w:pPr>
      <w:r w:rsidRPr="00B412ED">
        <w:rPr>
          <w:lang w:val="fr-CH"/>
        </w:rPr>
        <w:t>L</w:t>
      </w:r>
      <w:r w:rsidR="00710C7A" w:rsidRPr="00B412ED">
        <w:rPr>
          <w:lang w:val="fr-CH"/>
        </w:rPr>
        <w:t>’</w:t>
      </w:r>
      <w:r w:rsidRPr="00B412ED">
        <w:rPr>
          <w:lang w:val="fr-CH"/>
        </w:rPr>
        <w:t>Académie suisse des sciences humaines et sociales décerne le Prix de la Relève</w:t>
      </w:r>
      <w:r w:rsidR="00FA0EB7" w:rsidRPr="00B412ED">
        <w:rPr>
          <w:lang w:val="fr-CH"/>
        </w:rPr>
        <w:t xml:space="preserve"> </w:t>
      </w:r>
    </w:p>
    <w:p w14:paraId="0CAD3CA1" w14:textId="77777777" w:rsidR="009D38C3" w:rsidRPr="00B412ED" w:rsidRDefault="009D38C3" w:rsidP="007D60A7">
      <w:pPr>
        <w:pStyle w:val="Textkrper"/>
        <w:spacing w:before="8" w:line="276" w:lineRule="auto"/>
        <w:rPr>
          <w:b/>
          <w:sz w:val="24"/>
          <w:lang w:val="fr-CH"/>
        </w:rPr>
      </w:pPr>
    </w:p>
    <w:p w14:paraId="1E2828A9" w14:textId="48E0E61F" w:rsidR="005F378A" w:rsidRPr="00B412ED" w:rsidRDefault="001C1E9C" w:rsidP="005F378A">
      <w:pPr>
        <w:pStyle w:val="berschrift1"/>
        <w:spacing w:before="1" w:line="276" w:lineRule="auto"/>
        <w:ind w:left="0" w:right="469"/>
        <w:rPr>
          <w:b w:val="0"/>
          <w:bCs w:val="0"/>
          <w:lang w:val="fr-CH"/>
        </w:rPr>
      </w:pPr>
      <w:r w:rsidRPr="00B412ED">
        <w:rPr>
          <w:lang w:val="fr-CH"/>
        </w:rPr>
        <w:t>Trois articles scientifiques ont remporté le Prix de la Relève de l</w:t>
      </w:r>
      <w:r w:rsidR="00710C7A" w:rsidRPr="00B412ED">
        <w:rPr>
          <w:lang w:val="fr-CH"/>
        </w:rPr>
        <w:t>’</w:t>
      </w:r>
      <w:r w:rsidRPr="00B412ED">
        <w:rPr>
          <w:lang w:val="fr-CH"/>
        </w:rPr>
        <w:t>Académie suisse des sciences humaines et sociales. Ils étudient l</w:t>
      </w:r>
      <w:r w:rsidR="00710C7A" w:rsidRPr="00B412ED">
        <w:rPr>
          <w:lang w:val="fr-CH"/>
        </w:rPr>
        <w:t>’</w:t>
      </w:r>
      <w:r w:rsidRPr="00B412ED">
        <w:rPr>
          <w:lang w:val="fr-CH"/>
        </w:rPr>
        <w:t xml:space="preserve">influence des médias sur les opinions politiques, la compréhension de </w:t>
      </w:r>
      <w:proofErr w:type="spellStart"/>
      <w:r w:rsidRPr="00B412ED">
        <w:rPr>
          <w:lang w:val="fr-CH"/>
        </w:rPr>
        <w:t>I</w:t>
      </w:r>
      <w:r w:rsidR="00710C7A" w:rsidRPr="00B412ED">
        <w:rPr>
          <w:lang w:val="fr-CH"/>
        </w:rPr>
        <w:t>’</w:t>
      </w:r>
      <w:r w:rsidRPr="00B412ED">
        <w:rPr>
          <w:lang w:val="fr-CH"/>
        </w:rPr>
        <w:t>être</w:t>
      </w:r>
      <w:proofErr w:type="spellEnd"/>
      <w:r w:rsidRPr="00B412ED">
        <w:rPr>
          <w:lang w:val="fr-CH"/>
        </w:rPr>
        <w:t xml:space="preserve"> humain et de </w:t>
      </w:r>
      <w:proofErr w:type="spellStart"/>
      <w:r w:rsidRPr="00B412ED">
        <w:rPr>
          <w:lang w:val="fr-CH"/>
        </w:rPr>
        <w:t>I</w:t>
      </w:r>
      <w:r w:rsidR="00710C7A" w:rsidRPr="00B412ED">
        <w:rPr>
          <w:lang w:val="fr-CH"/>
        </w:rPr>
        <w:t>’</w:t>
      </w:r>
      <w:r w:rsidRPr="00B412ED">
        <w:rPr>
          <w:lang w:val="fr-CH"/>
        </w:rPr>
        <w:t>environnement</w:t>
      </w:r>
      <w:proofErr w:type="spellEnd"/>
      <w:r w:rsidRPr="00B412ED">
        <w:rPr>
          <w:lang w:val="fr-CH"/>
        </w:rPr>
        <w:t xml:space="preserve"> dans </w:t>
      </w:r>
      <w:proofErr w:type="spellStart"/>
      <w:r w:rsidRPr="00B412ED">
        <w:rPr>
          <w:lang w:val="fr-CH"/>
        </w:rPr>
        <w:t>I</w:t>
      </w:r>
      <w:r w:rsidR="00710C7A" w:rsidRPr="00B412ED">
        <w:rPr>
          <w:lang w:val="fr-CH"/>
        </w:rPr>
        <w:t>’</w:t>
      </w:r>
      <w:r w:rsidRPr="00B412ED">
        <w:rPr>
          <w:lang w:val="fr-CH"/>
        </w:rPr>
        <w:t>Union</w:t>
      </w:r>
      <w:proofErr w:type="spellEnd"/>
      <w:r w:rsidRPr="00B412ED">
        <w:rPr>
          <w:lang w:val="fr-CH"/>
        </w:rPr>
        <w:t xml:space="preserve"> soviétique et les aptitudes mathématiques chez les enfants en bas âge.</w:t>
      </w:r>
    </w:p>
    <w:p w14:paraId="765162B9" w14:textId="77777777" w:rsidR="005F378A" w:rsidRPr="00B412ED" w:rsidRDefault="005F378A" w:rsidP="007D60A7">
      <w:pPr>
        <w:pStyle w:val="berschrift1"/>
        <w:spacing w:before="1" w:line="276" w:lineRule="auto"/>
        <w:ind w:left="0" w:right="469"/>
        <w:rPr>
          <w:lang w:val="fr-CH"/>
        </w:rPr>
      </w:pPr>
    </w:p>
    <w:p w14:paraId="46A4D721" w14:textId="5E2DF131" w:rsidR="001C1E9C" w:rsidRPr="00B412ED" w:rsidRDefault="001C1E9C" w:rsidP="001C1E9C">
      <w:pPr>
        <w:pStyle w:val="berschrift1"/>
        <w:spacing w:before="1" w:line="276" w:lineRule="auto"/>
        <w:ind w:left="0" w:right="469"/>
        <w:rPr>
          <w:b w:val="0"/>
          <w:bCs w:val="0"/>
          <w:lang w:val="fr-CH"/>
        </w:rPr>
      </w:pPr>
      <w:r w:rsidRPr="00B412ED">
        <w:rPr>
          <w:b w:val="0"/>
          <w:bCs w:val="0"/>
          <w:lang w:val="fr-CH"/>
        </w:rPr>
        <w:t>L</w:t>
      </w:r>
      <w:r w:rsidR="00710C7A" w:rsidRPr="00B412ED">
        <w:rPr>
          <w:b w:val="0"/>
          <w:bCs w:val="0"/>
          <w:lang w:val="fr-CH"/>
        </w:rPr>
        <w:t>’</w:t>
      </w:r>
      <w:r w:rsidRPr="00B412ED">
        <w:rPr>
          <w:b w:val="0"/>
          <w:bCs w:val="0"/>
          <w:lang w:val="fr-CH"/>
        </w:rPr>
        <w:t xml:space="preserve">Académie suisse des sciences humaines et sociales (ASSH) décerne chaque année son Prix de la Relève à trois articles scientifiques de qualité exceptionnelle. Les </w:t>
      </w:r>
      <w:proofErr w:type="spellStart"/>
      <w:r w:rsidRPr="00B412ED">
        <w:rPr>
          <w:b w:val="0"/>
          <w:bCs w:val="0"/>
          <w:lang w:val="fr-CH"/>
        </w:rPr>
        <w:t>lauréat·e·s</w:t>
      </w:r>
      <w:proofErr w:type="spellEnd"/>
      <w:r w:rsidRPr="00B412ED">
        <w:rPr>
          <w:b w:val="0"/>
          <w:bCs w:val="0"/>
          <w:lang w:val="fr-CH"/>
        </w:rPr>
        <w:t xml:space="preserve"> reçoivent au total 18 000 francs. Cette année, le Prix de la Relève or est attribué au</w:t>
      </w:r>
      <w:r w:rsidR="00027020">
        <w:rPr>
          <w:b w:val="0"/>
          <w:bCs w:val="0"/>
          <w:lang w:val="fr-CH"/>
        </w:rPr>
        <w:t>x</w:t>
      </w:r>
      <w:r w:rsidR="006D076B" w:rsidRPr="00B412ED">
        <w:rPr>
          <w:b w:val="0"/>
          <w:bCs w:val="0"/>
          <w:lang w:val="fr-CH"/>
        </w:rPr>
        <w:t xml:space="preserve"> </w:t>
      </w:r>
      <w:r w:rsidRPr="00B412ED">
        <w:rPr>
          <w:b w:val="0"/>
          <w:bCs w:val="0"/>
          <w:lang w:val="fr-CH"/>
        </w:rPr>
        <w:t>politologue</w:t>
      </w:r>
      <w:r w:rsidR="00027020">
        <w:rPr>
          <w:b w:val="0"/>
          <w:bCs w:val="0"/>
          <w:lang w:val="fr-CH"/>
        </w:rPr>
        <w:t>s</w:t>
      </w:r>
      <w:r w:rsidRPr="00B412ED">
        <w:rPr>
          <w:b w:val="0"/>
          <w:bCs w:val="0"/>
          <w:lang w:val="fr-CH"/>
        </w:rPr>
        <w:t xml:space="preserve"> </w:t>
      </w:r>
      <w:r w:rsidR="00027020" w:rsidRPr="00B412ED">
        <w:rPr>
          <w:b w:val="0"/>
          <w:bCs w:val="0"/>
          <w:lang w:val="fr-CH"/>
        </w:rPr>
        <w:t xml:space="preserve">Florian </w:t>
      </w:r>
      <w:proofErr w:type="spellStart"/>
      <w:r w:rsidR="00027020" w:rsidRPr="00B412ED">
        <w:rPr>
          <w:b w:val="0"/>
          <w:bCs w:val="0"/>
          <w:lang w:val="fr-CH"/>
        </w:rPr>
        <w:t>Foos</w:t>
      </w:r>
      <w:proofErr w:type="spellEnd"/>
      <w:r w:rsidR="00027020" w:rsidRPr="00B412ED">
        <w:rPr>
          <w:b w:val="0"/>
          <w:bCs w:val="0"/>
          <w:lang w:val="fr-CH"/>
        </w:rPr>
        <w:t xml:space="preserve"> (London </w:t>
      </w:r>
      <w:proofErr w:type="spellStart"/>
      <w:r w:rsidR="00027020" w:rsidRPr="00B412ED">
        <w:rPr>
          <w:b w:val="0"/>
          <w:bCs w:val="0"/>
          <w:lang w:val="fr-CH"/>
        </w:rPr>
        <w:t>School</w:t>
      </w:r>
      <w:proofErr w:type="spellEnd"/>
      <w:r w:rsidR="00027020" w:rsidRPr="00B412ED">
        <w:rPr>
          <w:b w:val="0"/>
          <w:bCs w:val="0"/>
          <w:lang w:val="fr-CH"/>
        </w:rPr>
        <w:t xml:space="preserve"> of </w:t>
      </w:r>
      <w:proofErr w:type="spellStart"/>
      <w:r w:rsidR="00027020" w:rsidRPr="00B412ED">
        <w:rPr>
          <w:b w:val="0"/>
          <w:bCs w:val="0"/>
          <w:lang w:val="fr-CH"/>
        </w:rPr>
        <w:t>Economics</w:t>
      </w:r>
      <w:proofErr w:type="spellEnd"/>
      <w:r w:rsidR="00027020">
        <w:rPr>
          <w:b w:val="0"/>
          <w:bCs w:val="0"/>
          <w:lang w:val="fr-CH"/>
        </w:rPr>
        <w:t xml:space="preserve">, </w:t>
      </w:r>
      <w:r w:rsidR="00D34839" w:rsidRPr="00B412ED">
        <w:rPr>
          <w:b w:val="0"/>
          <w:bCs w:val="0"/>
          <w:lang w:val="fr-CH"/>
        </w:rPr>
        <w:t>au moment de la publication</w:t>
      </w:r>
      <w:r w:rsidRPr="00B412ED">
        <w:rPr>
          <w:b w:val="0"/>
          <w:bCs w:val="0"/>
          <w:lang w:val="fr-CH"/>
        </w:rPr>
        <w:t>)</w:t>
      </w:r>
      <w:r w:rsidR="006D076B" w:rsidRPr="00B412ED">
        <w:rPr>
          <w:b w:val="0"/>
          <w:bCs w:val="0"/>
          <w:lang w:val="fr-CH"/>
        </w:rPr>
        <w:t xml:space="preserve"> et </w:t>
      </w:r>
      <w:r w:rsidR="00027020" w:rsidRPr="00B412ED">
        <w:rPr>
          <w:b w:val="0"/>
          <w:bCs w:val="0"/>
          <w:lang w:val="fr-CH"/>
        </w:rPr>
        <w:t>Daniel Bischof (Université de Zurich</w:t>
      </w:r>
      <w:r w:rsidR="00027020">
        <w:rPr>
          <w:b w:val="0"/>
          <w:bCs w:val="0"/>
          <w:lang w:val="fr-CH"/>
        </w:rPr>
        <w:t>)</w:t>
      </w:r>
      <w:r w:rsidRPr="00B412ED">
        <w:rPr>
          <w:b w:val="0"/>
          <w:bCs w:val="0"/>
          <w:lang w:val="fr-CH"/>
        </w:rPr>
        <w:t xml:space="preserve">. </w:t>
      </w:r>
      <w:r w:rsidR="00E3206E" w:rsidRPr="00B412ED">
        <w:rPr>
          <w:b w:val="0"/>
          <w:bCs w:val="0"/>
          <w:lang w:val="fr-CH"/>
        </w:rPr>
        <w:t>L</w:t>
      </w:r>
      <w:r w:rsidR="00D34839" w:rsidRPr="00B412ED">
        <w:rPr>
          <w:b w:val="0"/>
          <w:bCs w:val="0"/>
          <w:lang w:val="fr-CH"/>
        </w:rPr>
        <w:t>’</w:t>
      </w:r>
      <w:r w:rsidR="00E3206E" w:rsidRPr="00B412ED">
        <w:rPr>
          <w:b w:val="0"/>
          <w:bCs w:val="0"/>
          <w:lang w:val="fr-CH"/>
        </w:rPr>
        <w:t>historien</w:t>
      </w:r>
      <w:r w:rsidRPr="00B412ED">
        <w:rPr>
          <w:b w:val="0"/>
          <w:bCs w:val="0"/>
          <w:lang w:val="fr-CH"/>
        </w:rPr>
        <w:t xml:space="preserve"> Felix Frey </w:t>
      </w:r>
      <w:r w:rsidR="006D076B" w:rsidRPr="00B412ED">
        <w:rPr>
          <w:b w:val="0"/>
          <w:bCs w:val="0"/>
          <w:lang w:val="fr-CH"/>
        </w:rPr>
        <w:t xml:space="preserve">(Université de Berne) </w:t>
      </w:r>
      <w:r w:rsidR="00E5773C" w:rsidRPr="00B412ED">
        <w:rPr>
          <w:b w:val="0"/>
          <w:bCs w:val="0"/>
          <w:lang w:val="fr-CH"/>
        </w:rPr>
        <w:t>et l</w:t>
      </w:r>
      <w:r w:rsidR="00710C7A" w:rsidRPr="00B412ED">
        <w:rPr>
          <w:b w:val="0"/>
          <w:bCs w:val="0"/>
          <w:lang w:val="fr-CH"/>
        </w:rPr>
        <w:t>’</w:t>
      </w:r>
      <w:r w:rsidR="00E5773C" w:rsidRPr="00B412ED">
        <w:rPr>
          <w:b w:val="0"/>
          <w:bCs w:val="0"/>
          <w:lang w:val="fr-CH"/>
        </w:rPr>
        <w:t>historienne Ann</w:t>
      </w:r>
      <w:r w:rsidR="00B42C12">
        <w:rPr>
          <w:b w:val="0"/>
          <w:bCs w:val="0"/>
          <w:lang w:val="fr-CH"/>
        </w:rPr>
        <w:t>e</w:t>
      </w:r>
      <w:r w:rsidR="00E5773C" w:rsidRPr="00B412ED">
        <w:rPr>
          <w:b w:val="0"/>
          <w:bCs w:val="0"/>
          <w:lang w:val="fr-CH"/>
        </w:rPr>
        <w:t xml:space="preserve"> </w:t>
      </w:r>
      <w:r w:rsidR="00C20336">
        <w:rPr>
          <w:b w:val="0"/>
          <w:bCs w:val="0"/>
          <w:lang w:val="fr-CH"/>
        </w:rPr>
        <w:t xml:space="preserve">E. </w:t>
      </w:r>
      <w:proofErr w:type="spellStart"/>
      <w:r w:rsidR="00E5773C" w:rsidRPr="00B412ED">
        <w:rPr>
          <w:b w:val="0"/>
          <w:bCs w:val="0"/>
          <w:lang w:val="fr-CH"/>
        </w:rPr>
        <w:t>Hasselmann</w:t>
      </w:r>
      <w:proofErr w:type="spellEnd"/>
      <w:r w:rsidR="00E5773C" w:rsidRPr="00B412ED">
        <w:rPr>
          <w:b w:val="0"/>
          <w:bCs w:val="0"/>
          <w:lang w:val="fr-CH"/>
        </w:rPr>
        <w:t xml:space="preserve"> </w:t>
      </w:r>
      <w:r w:rsidR="006D076B" w:rsidRPr="00B412ED">
        <w:rPr>
          <w:b w:val="0"/>
          <w:bCs w:val="0"/>
          <w:lang w:val="fr-CH"/>
        </w:rPr>
        <w:t>(</w:t>
      </w:r>
      <w:r w:rsidR="00BD2E7B" w:rsidRPr="00B412ED">
        <w:rPr>
          <w:b w:val="0"/>
          <w:bCs w:val="0"/>
          <w:lang w:val="fr-CH"/>
        </w:rPr>
        <w:t>Musée historique de Bâle</w:t>
      </w:r>
      <w:r w:rsidR="006D076B" w:rsidRPr="00B412ED">
        <w:rPr>
          <w:b w:val="0"/>
          <w:bCs w:val="0"/>
          <w:lang w:val="fr-CH"/>
        </w:rPr>
        <w:t>)</w:t>
      </w:r>
      <w:r w:rsidRPr="00B412ED">
        <w:rPr>
          <w:b w:val="0"/>
          <w:bCs w:val="0"/>
          <w:lang w:val="fr-CH"/>
        </w:rPr>
        <w:t xml:space="preserve"> remportent l</w:t>
      </w:r>
      <w:r w:rsidR="00710C7A" w:rsidRPr="00B412ED">
        <w:rPr>
          <w:b w:val="0"/>
          <w:bCs w:val="0"/>
          <w:lang w:val="fr-CH"/>
        </w:rPr>
        <w:t>’</w:t>
      </w:r>
      <w:r w:rsidRPr="00B412ED">
        <w:rPr>
          <w:b w:val="0"/>
          <w:bCs w:val="0"/>
          <w:lang w:val="fr-CH"/>
        </w:rPr>
        <w:t xml:space="preserve">argent et la psychologue Thalia </w:t>
      </w:r>
      <w:proofErr w:type="spellStart"/>
      <w:r w:rsidRPr="00B412ED">
        <w:rPr>
          <w:b w:val="0"/>
          <w:bCs w:val="0"/>
          <w:lang w:val="fr-CH"/>
        </w:rPr>
        <w:t>Cavadini</w:t>
      </w:r>
      <w:proofErr w:type="spellEnd"/>
      <w:r w:rsidRPr="00B412ED">
        <w:rPr>
          <w:b w:val="0"/>
          <w:bCs w:val="0"/>
          <w:lang w:val="fr-CH"/>
        </w:rPr>
        <w:t xml:space="preserve"> (Université de Genève) le bronze.</w:t>
      </w:r>
    </w:p>
    <w:p w14:paraId="4CE1B425" w14:textId="77777777" w:rsidR="009D38C3" w:rsidRPr="00B412ED" w:rsidRDefault="009D38C3" w:rsidP="007D60A7">
      <w:pPr>
        <w:pStyle w:val="Textkrper"/>
        <w:spacing w:before="5" w:line="276" w:lineRule="auto"/>
        <w:rPr>
          <w:b/>
          <w:sz w:val="28"/>
          <w:lang w:val="fr-CH"/>
        </w:rPr>
      </w:pPr>
    </w:p>
    <w:p w14:paraId="30AFAE3F" w14:textId="017FC011" w:rsidR="00FF5A0A" w:rsidRPr="00B412ED" w:rsidRDefault="0075287A" w:rsidP="007D60A7">
      <w:pPr>
        <w:spacing w:before="1" w:line="276" w:lineRule="auto"/>
        <w:rPr>
          <w:b/>
          <w:spacing w:val="-4"/>
          <w:lang w:val="fr-CH"/>
        </w:rPr>
      </w:pPr>
      <w:r w:rsidRPr="00B412ED">
        <w:rPr>
          <w:b/>
          <w:spacing w:val="-4"/>
          <w:lang w:val="fr-CH"/>
        </w:rPr>
        <w:t xml:space="preserve">Or : </w:t>
      </w:r>
      <w:r w:rsidR="00E5773C" w:rsidRPr="00B412ED">
        <w:rPr>
          <w:b/>
          <w:spacing w:val="-4"/>
          <w:lang w:val="fr-CH"/>
        </w:rPr>
        <w:t>l</w:t>
      </w:r>
      <w:r w:rsidR="00710C7A" w:rsidRPr="00B412ED">
        <w:rPr>
          <w:b/>
          <w:spacing w:val="-4"/>
          <w:lang w:val="fr-CH"/>
        </w:rPr>
        <w:t>’</w:t>
      </w:r>
      <w:r w:rsidRPr="00B412ED">
        <w:rPr>
          <w:b/>
          <w:spacing w:val="-4"/>
          <w:lang w:val="fr-CH"/>
        </w:rPr>
        <w:t>influence du journal</w:t>
      </w:r>
      <w:r w:rsidR="00225FB9" w:rsidRPr="00B412ED">
        <w:rPr>
          <w:b/>
          <w:spacing w:val="-4"/>
          <w:lang w:val="fr-CH"/>
        </w:rPr>
        <w:t xml:space="preserve"> </w:t>
      </w:r>
      <w:r w:rsidR="00225FB9" w:rsidRPr="00B412ED">
        <w:rPr>
          <w:b/>
          <w:i/>
          <w:iCs/>
          <w:spacing w:val="-4"/>
          <w:lang w:val="fr-CH"/>
        </w:rPr>
        <w:t>Sun</w:t>
      </w:r>
      <w:r w:rsidRPr="00B412ED">
        <w:rPr>
          <w:b/>
          <w:spacing w:val="-4"/>
          <w:lang w:val="fr-CH"/>
        </w:rPr>
        <w:t xml:space="preserve"> sur l</w:t>
      </w:r>
      <w:r w:rsidR="00710C7A" w:rsidRPr="00B412ED">
        <w:rPr>
          <w:b/>
          <w:spacing w:val="-4"/>
          <w:lang w:val="fr-CH"/>
        </w:rPr>
        <w:t>’</w:t>
      </w:r>
      <w:r w:rsidRPr="00B412ED">
        <w:rPr>
          <w:b/>
          <w:spacing w:val="-4"/>
          <w:lang w:val="fr-CH"/>
        </w:rPr>
        <w:t>euroscepticisme en Angleterre</w:t>
      </w:r>
    </w:p>
    <w:p w14:paraId="518FAD7B" w14:textId="77777777" w:rsidR="005F378A" w:rsidRPr="00B412ED" w:rsidRDefault="005F378A" w:rsidP="007D60A7">
      <w:pPr>
        <w:spacing w:before="1" w:line="276" w:lineRule="auto"/>
        <w:rPr>
          <w:b/>
          <w:spacing w:val="-4"/>
          <w:lang w:val="fr-CH"/>
        </w:rPr>
      </w:pPr>
    </w:p>
    <w:p w14:paraId="00A1FDF8" w14:textId="3ABD5ADF" w:rsidR="00225FB9" w:rsidRPr="00B412ED" w:rsidRDefault="00225FB9" w:rsidP="00225FB9">
      <w:pPr>
        <w:spacing w:before="1" w:line="276" w:lineRule="auto"/>
        <w:rPr>
          <w:bCs/>
          <w:spacing w:val="-4"/>
          <w:lang w:val="fr-CH"/>
        </w:rPr>
      </w:pPr>
      <w:r w:rsidRPr="00B412ED">
        <w:rPr>
          <w:bCs/>
          <w:spacing w:val="-4"/>
          <w:lang w:val="fr-CH"/>
        </w:rPr>
        <w:t xml:space="preserve">Le populaire tabloïd britannique </w:t>
      </w:r>
      <w:r w:rsidRPr="00B412ED">
        <w:rPr>
          <w:bCs/>
          <w:i/>
          <w:iCs/>
          <w:spacing w:val="-4"/>
          <w:lang w:val="fr-CH"/>
        </w:rPr>
        <w:t>Sun</w:t>
      </w:r>
      <w:r w:rsidRPr="00B412ED">
        <w:rPr>
          <w:bCs/>
          <w:spacing w:val="-4"/>
          <w:lang w:val="fr-CH"/>
        </w:rPr>
        <w:t xml:space="preserve"> a longuement et régulièrement critiqué l</w:t>
      </w:r>
      <w:r w:rsidR="00710C7A" w:rsidRPr="00B412ED">
        <w:rPr>
          <w:bCs/>
          <w:spacing w:val="-4"/>
          <w:lang w:val="fr-CH"/>
        </w:rPr>
        <w:t>’</w:t>
      </w:r>
      <w:r w:rsidRPr="00B412ED">
        <w:rPr>
          <w:bCs/>
          <w:spacing w:val="-4"/>
          <w:lang w:val="fr-CH"/>
        </w:rPr>
        <w:t xml:space="preserve">UE. Il a même donné une recommandation de vote en faveur du référendum sur le Brexit. Les politologues Florian </w:t>
      </w:r>
      <w:proofErr w:type="spellStart"/>
      <w:r w:rsidRPr="00B412ED">
        <w:rPr>
          <w:bCs/>
          <w:spacing w:val="-4"/>
          <w:lang w:val="fr-CH"/>
        </w:rPr>
        <w:t>Foos</w:t>
      </w:r>
      <w:proofErr w:type="spellEnd"/>
      <w:r w:rsidRPr="00B412ED">
        <w:rPr>
          <w:bCs/>
          <w:spacing w:val="-4"/>
          <w:lang w:val="fr-CH"/>
        </w:rPr>
        <w:t xml:space="preserve"> et Daniel Bischof ont pu démontrer que la campagne médiatique menée pendant des années avait effectivement renforcé l</w:t>
      </w:r>
      <w:r w:rsidR="00710C7A" w:rsidRPr="00B412ED">
        <w:rPr>
          <w:bCs/>
          <w:spacing w:val="-4"/>
          <w:lang w:val="fr-CH"/>
        </w:rPr>
        <w:t>’</w:t>
      </w:r>
      <w:r w:rsidRPr="00B412ED">
        <w:rPr>
          <w:bCs/>
          <w:spacing w:val="-4"/>
          <w:lang w:val="fr-CH"/>
        </w:rPr>
        <w:t>euroscepticisme au sein de la population. Pour leur recherche, ils se sont servis d</w:t>
      </w:r>
      <w:r w:rsidR="00710C7A" w:rsidRPr="00B412ED">
        <w:rPr>
          <w:bCs/>
          <w:spacing w:val="-4"/>
          <w:lang w:val="fr-CH"/>
        </w:rPr>
        <w:t>’</w:t>
      </w:r>
      <w:r w:rsidRPr="00B412ED">
        <w:rPr>
          <w:bCs/>
          <w:spacing w:val="-4"/>
          <w:lang w:val="fr-CH"/>
        </w:rPr>
        <w:t xml:space="preserve">une situation exceptionnelle : </w:t>
      </w:r>
      <w:r w:rsidR="003B0C1A" w:rsidRPr="00B412ED">
        <w:rPr>
          <w:bCs/>
          <w:spacing w:val="-4"/>
          <w:lang w:val="fr-CH"/>
        </w:rPr>
        <w:t>d</w:t>
      </w:r>
      <w:r w:rsidRPr="00B412ED">
        <w:rPr>
          <w:bCs/>
          <w:spacing w:val="-4"/>
          <w:lang w:val="fr-CH"/>
        </w:rPr>
        <w:t>ans le district de Merseyside, au nord de l</w:t>
      </w:r>
      <w:r w:rsidR="00710C7A" w:rsidRPr="00B412ED">
        <w:rPr>
          <w:bCs/>
          <w:spacing w:val="-4"/>
          <w:lang w:val="fr-CH"/>
        </w:rPr>
        <w:t>’</w:t>
      </w:r>
      <w:r w:rsidRPr="00B412ED">
        <w:rPr>
          <w:bCs/>
          <w:spacing w:val="-4"/>
          <w:lang w:val="fr-CH"/>
        </w:rPr>
        <w:t xml:space="preserve">Angleterre, le </w:t>
      </w:r>
      <w:r w:rsidR="003B0C1A" w:rsidRPr="00B412ED">
        <w:rPr>
          <w:bCs/>
          <w:i/>
          <w:iCs/>
          <w:spacing w:val="-4"/>
          <w:lang w:val="fr-CH"/>
        </w:rPr>
        <w:t>Sun</w:t>
      </w:r>
      <w:r w:rsidRPr="00B412ED">
        <w:rPr>
          <w:bCs/>
          <w:spacing w:val="-4"/>
          <w:lang w:val="fr-CH"/>
        </w:rPr>
        <w:t xml:space="preserve"> est boycotté depuis 1989 parce qu</w:t>
      </w:r>
      <w:r w:rsidR="00710C7A" w:rsidRPr="00B412ED">
        <w:rPr>
          <w:bCs/>
          <w:spacing w:val="-4"/>
          <w:lang w:val="fr-CH"/>
        </w:rPr>
        <w:t>’</w:t>
      </w:r>
      <w:r w:rsidRPr="00B412ED">
        <w:rPr>
          <w:bCs/>
          <w:spacing w:val="-4"/>
          <w:lang w:val="fr-CH"/>
        </w:rPr>
        <w:t xml:space="preserve">il a présenté de manière erronée </w:t>
      </w:r>
      <w:r w:rsidR="003B0C1A" w:rsidRPr="00B412ED">
        <w:rPr>
          <w:bCs/>
          <w:spacing w:val="-4"/>
          <w:lang w:val="fr-CH"/>
        </w:rPr>
        <w:t>la tragédie</w:t>
      </w:r>
      <w:r w:rsidRPr="00B412ED">
        <w:rPr>
          <w:bCs/>
          <w:spacing w:val="-4"/>
          <w:lang w:val="fr-CH"/>
        </w:rPr>
        <w:t xml:space="preserve"> du </w:t>
      </w:r>
      <w:r w:rsidR="003B0C1A" w:rsidRPr="00B412ED">
        <w:rPr>
          <w:bCs/>
          <w:spacing w:val="-4"/>
          <w:lang w:val="fr-CH"/>
        </w:rPr>
        <w:t xml:space="preserve">stade de </w:t>
      </w:r>
      <w:r w:rsidRPr="00B412ED">
        <w:rPr>
          <w:bCs/>
          <w:spacing w:val="-4"/>
          <w:lang w:val="fr-CH"/>
        </w:rPr>
        <w:t>football d</w:t>
      </w:r>
      <w:r w:rsidR="003B0C1A" w:rsidRPr="00B412ED">
        <w:rPr>
          <w:bCs/>
          <w:spacing w:val="-4"/>
          <w:lang w:val="fr-CH"/>
        </w:rPr>
        <w:t>’</w:t>
      </w:r>
      <w:proofErr w:type="spellStart"/>
      <w:r w:rsidRPr="00B412ED">
        <w:rPr>
          <w:bCs/>
          <w:spacing w:val="-4"/>
          <w:lang w:val="fr-CH"/>
        </w:rPr>
        <w:t>Hillsborough</w:t>
      </w:r>
      <w:proofErr w:type="spellEnd"/>
      <w:r w:rsidRPr="00B412ED">
        <w:rPr>
          <w:bCs/>
          <w:spacing w:val="-4"/>
          <w:lang w:val="fr-CH"/>
        </w:rPr>
        <w:t xml:space="preserve"> qui a fait 9</w:t>
      </w:r>
      <w:r w:rsidR="00234EDB" w:rsidRPr="00B412ED">
        <w:rPr>
          <w:bCs/>
          <w:spacing w:val="-4"/>
          <w:lang w:val="fr-CH"/>
        </w:rPr>
        <w:t>7</w:t>
      </w:r>
      <w:r w:rsidRPr="00B412ED">
        <w:rPr>
          <w:bCs/>
          <w:spacing w:val="-4"/>
          <w:lang w:val="fr-CH"/>
        </w:rPr>
        <w:t xml:space="preserve"> morts à l</w:t>
      </w:r>
      <w:r w:rsidR="00710C7A" w:rsidRPr="00B412ED">
        <w:rPr>
          <w:bCs/>
          <w:spacing w:val="-4"/>
          <w:lang w:val="fr-CH"/>
        </w:rPr>
        <w:t>’</w:t>
      </w:r>
      <w:r w:rsidRPr="00B412ED">
        <w:rPr>
          <w:bCs/>
          <w:spacing w:val="-4"/>
          <w:lang w:val="fr-CH"/>
        </w:rPr>
        <w:t xml:space="preserve">époque. Les auteurs ont comparé les </w:t>
      </w:r>
      <w:r w:rsidR="007E5114" w:rsidRPr="00B412ED">
        <w:rPr>
          <w:bCs/>
          <w:spacing w:val="-4"/>
          <w:lang w:val="fr-CH"/>
        </w:rPr>
        <w:t>opinions</w:t>
      </w:r>
      <w:r w:rsidRPr="00B412ED">
        <w:rPr>
          <w:bCs/>
          <w:spacing w:val="-4"/>
          <w:lang w:val="fr-CH"/>
        </w:rPr>
        <w:t xml:space="preserve"> politiques dans le Merseyside avec celles d</w:t>
      </w:r>
      <w:r w:rsidR="00710C7A" w:rsidRPr="00B412ED">
        <w:rPr>
          <w:bCs/>
          <w:spacing w:val="-4"/>
          <w:lang w:val="fr-CH"/>
        </w:rPr>
        <w:t>’</w:t>
      </w:r>
      <w:r w:rsidRPr="00B412ED">
        <w:rPr>
          <w:bCs/>
          <w:spacing w:val="-4"/>
          <w:lang w:val="fr-CH"/>
        </w:rPr>
        <w:t>autres districts du nord de l</w:t>
      </w:r>
      <w:r w:rsidR="00710C7A" w:rsidRPr="00B412ED">
        <w:rPr>
          <w:bCs/>
          <w:spacing w:val="-4"/>
          <w:lang w:val="fr-CH"/>
        </w:rPr>
        <w:t>’</w:t>
      </w:r>
      <w:r w:rsidRPr="00B412ED">
        <w:rPr>
          <w:bCs/>
          <w:spacing w:val="-4"/>
          <w:lang w:val="fr-CH"/>
        </w:rPr>
        <w:t xml:space="preserve">Angleterre où le </w:t>
      </w:r>
      <w:r w:rsidR="003B0C1A" w:rsidRPr="00B412ED">
        <w:rPr>
          <w:bCs/>
          <w:i/>
          <w:iCs/>
          <w:spacing w:val="-4"/>
          <w:lang w:val="fr-CH"/>
        </w:rPr>
        <w:t>Sun</w:t>
      </w:r>
      <w:r w:rsidRPr="00B412ED">
        <w:rPr>
          <w:bCs/>
          <w:spacing w:val="-4"/>
          <w:lang w:val="fr-CH"/>
        </w:rPr>
        <w:t xml:space="preserve"> continuait à circuler. Ils ont constaté que la population de Merseyside était nettement moins eurosceptique en raison du boycott du </w:t>
      </w:r>
      <w:r w:rsidR="003B0C1A" w:rsidRPr="00B412ED">
        <w:rPr>
          <w:bCs/>
          <w:i/>
          <w:iCs/>
          <w:spacing w:val="-4"/>
          <w:lang w:val="fr-CH"/>
        </w:rPr>
        <w:t>Sun</w:t>
      </w:r>
      <w:r w:rsidRPr="00B412ED">
        <w:rPr>
          <w:bCs/>
          <w:spacing w:val="-4"/>
          <w:lang w:val="fr-CH"/>
        </w:rPr>
        <w:t>. L</w:t>
      </w:r>
      <w:r w:rsidR="00710C7A" w:rsidRPr="00B412ED">
        <w:rPr>
          <w:bCs/>
          <w:spacing w:val="-4"/>
          <w:lang w:val="fr-CH"/>
        </w:rPr>
        <w:t>’</w:t>
      </w:r>
      <w:r w:rsidRPr="00B412ED">
        <w:rPr>
          <w:bCs/>
          <w:spacing w:val="-4"/>
          <w:lang w:val="fr-CH"/>
        </w:rPr>
        <w:t xml:space="preserve">effet du boycott du </w:t>
      </w:r>
      <w:r w:rsidR="003B0C1A" w:rsidRPr="00B412ED">
        <w:rPr>
          <w:bCs/>
          <w:i/>
          <w:iCs/>
          <w:spacing w:val="-4"/>
          <w:lang w:val="fr-CH"/>
        </w:rPr>
        <w:t>Sun</w:t>
      </w:r>
      <w:r w:rsidRPr="00B412ED">
        <w:rPr>
          <w:bCs/>
          <w:spacing w:val="-4"/>
          <w:lang w:val="fr-CH"/>
        </w:rPr>
        <w:t xml:space="preserve"> est particulièrement fort chez les personnes ayant un faible niveau d</w:t>
      </w:r>
      <w:r w:rsidR="00710C7A" w:rsidRPr="00B412ED">
        <w:rPr>
          <w:bCs/>
          <w:spacing w:val="-4"/>
          <w:lang w:val="fr-CH"/>
        </w:rPr>
        <w:t>’</w:t>
      </w:r>
      <w:r w:rsidRPr="00B412ED">
        <w:rPr>
          <w:bCs/>
          <w:spacing w:val="-4"/>
          <w:lang w:val="fr-CH"/>
        </w:rPr>
        <w:t xml:space="preserve">éducation et chez celles qui avaient moins de 17 ans au début du boycott : </w:t>
      </w:r>
      <w:r w:rsidR="003B0C1A" w:rsidRPr="00B412ED">
        <w:rPr>
          <w:bCs/>
          <w:spacing w:val="-4"/>
          <w:lang w:val="fr-CH"/>
        </w:rPr>
        <w:t>l</w:t>
      </w:r>
      <w:r w:rsidRPr="00B412ED">
        <w:rPr>
          <w:bCs/>
          <w:spacing w:val="-4"/>
          <w:lang w:val="fr-CH"/>
        </w:rPr>
        <w:t>es premi</w:t>
      </w:r>
      <w:r w:rsidR="003B0C1A" w:rsidRPr="00B412ED">
        <w:rPr>
          <w:bCs/>
          <w:spacing w:val="-4"/>
          <w:lang w:val="fr-CH"/>
        </w:rPr>
        <w:t>ères</w:t>
      </w:r>
      <w:r w:rsidRPr="00B412ED">
        <w:rPr>
          <w:bCs/>
          <w:spacing w:val="-4"/>
          <w:lang w:val="fr-CH"/>
        </w:rPr>
        <w:t xml:space="preserve"> constituent le lectorat traditionnel du </w:t>
      </w:r>
      <w:r w:rsidRPr="00B412ED">
        <w:rPr>
          <w:bCs/>
          <w:i/>
          <w:iCs/>
          <w:spacing w:val="-4"/>
          <w:lang w:val="fr-CH"/>
        </w:rPr>
        <w:t>Sun</w:t>
      </w:r>
      <w:r w:rsidRPr="00B412ED">
        <w:rPr>
          <w:bCs/>
          <w:spacing w:val="-4"/>
          <w:lang w:val="fr-CH"/>
        </w:rPr>
        <w:t>, les second</w:t>
      </w:r>
      <w:r w:rsidR="003B0C1A" w:rsidRPr="00B412ED">
        <w:rPr>
          <w:bCs/>
          <w:spacing w:val="-4"/>
          <w:lang w:val="fr-CH"/>
        </w:rPr>
        <w:t>e</w:t>
      </w:r>
      <w:r w:rsidRPr="00B412ED">
        <w:rPr>
          <w:bCs/>
          <w:spacing w:val="-4"/>
          <w:lang w:val="fr-CH"/>
        </w:rPr>
        <w:t>s se trouvaient à un âge où se forment habituellement des opinions politiques stables.</w:t>
      </w:r>
    </w:p>
    <w:p w14:paraId="6282336B" w14:textId="77777777" w:rsidR="00850224" w:rsidRPr="00B412ED" w:rsidRDefault="00850224" w:rsidP="007D60A7">
      <w:pPr>
        <w:spacing w:before="1" w:line="276" w:lineRule="auto"/>
        <w:rPr>
          <w:bCs/>
          <w:spacing w:val="-4"/>
          <w:lang w:val="fr-CH"/>
        </w:rPr>
      </w:pPr>
    </w:p>
    <w:p w14:paraId="68D2FF22" w14:textId="27B6C980" w:rsidR="00234EDB" w:rsidRPr="00B412ED" w:rsidRDefault="007E5114" w:rsidP="007E5114">
      <w:pPr>
        <w:spacing w:before="1" w:line="276" w:lineRule="auto"/>
        <w:rPr>
          <w:bCs/>
          <w:spacing w:val="-4"/>
          <w:lang w:val="fr-CH"/>
        </w:rPr>
      </w:pPr>
      <w:r w:rsidRPr="00B412ED">
        <w:rPr>
          <w:bCs/>
          <w:spacing w:val="-4"/>
          <w:lang w:val="fr-CH"/>
        </w:rPr>
        <w:t>L</w:t>
      </w:r>
      <w:r w:rsidR="00710C7A" w:rsidRPr="00B412ED">
        <w:rPr>
          <w:bCs/>
          <w:spacing w:val="-4"/>
          <w:lang w:val="fr-CH"/>
        </w:rPr>
        <w:t>’</w:t>
      </w:r>
      <w:r w:rsidRPr="00B412ED">
        <w:rPr>
          <w:bCs/>
          <w:spacing w:val="-4"/>
          <w:lang w:val="fr-CH"/>
        </w:rPr>
        <w:t>article récompensé s</w:t>
      </w:r>
      <w:r w:rsidR="00710C7A" w:rsidRPr="00B412ED">
        <w:rPr>
          <w:bCs/>
          <w:spacing w:val="-4"/>
          <w:lang w:val="fr-CH"/>
        </w:rPr>
        <w:t>’</w:t>
      </w:r>
      <w:r w:rsidRPr="00B412ED">
        <w:rPr>
          <w:bCs/>
          <w:spacing w:val="-4"/>
          <w:lang w:val="fr-CH"/>
        </w:rPr>
        <w:t>inscrit dans le débat sur la force d</w:t>
      </w:r>
      <w:r w:rsidR="00710C7A" w:rsidRPr="00B412ED">
        <w:rPr>
          <w:bCs/>
          <w:spacing w:val="-4"/>
          <w:lang w:val="fr-CH"/>
        </w:rPr>
        <w:t>’</w:t>
      </w:r>
      <w:r w:rsidRPr="00B412ED">
        <w:rPr>
          <w:bCs/>
          <w:spacing w:val="-4"/>
          <w:lang w:val="fr-CH"/>
        </w:rPr>
        <w:t>impact des médias et leur importance pour les démocraties. Au cours de la dernière décennie, différentes études ont montré que les informations diffusées par les médias n</w:t>
      </w:r>
      <w:r w:rsidR="00710C7A" w:rsidRPr="00B412ED">
        <w:rPr>
          <w:bCs/>
          <w:spacing w:val="-4"/>
          <w:lang w:val="fr-CH"/>
        </w:rPr>
        <w:t>’</w:t>
      </w:r>
      <w:r w:rsidRPr="00B412ED">
        <w:rPr>
          <w:bCs/>
          <w:spacing w:val="-4"/>
          <w:lang w:val="fr-CH"/>
        </w:rPr>
        <w:t xml:space="preserve">influencent guère les </w:t>
      </w:r>
      <w:r w:rsidR="003B0C1A" w:rsidRPr="00B412ED">
        <w:rPr>
          <w:bCs/>
          <w:spacing w:val="-4"/>
          <w:lang w:val="fr-CH"/>
        </w:rPr>
        <w:t>opinions</w:t>
      </w:r>
      <w:r w:rsidRPr="00B412ED">
        <w:rPr>
          <w:bCs/>
          <w:spacing w:val="-4"/>
          <w:lang w:val="fr-CH"/>
        </w:rPr>
        <w:t xml:space="preserve"> politiques à court terme. Daniel </w:t>
      </w:r>
      <w:r w:rsidRPr="00B412ED">
        <w:rPr>
          <w:bCs/>
          <w:spacing w:val="-4"/>
          <w:lang w:val="fr-CH"/>
        </w:rPr>
        <w:lastRenderedPageBreak/>
        <w:t xml:space="preserve">Bischof et Florian </w:t>
      </w:r>
      <w:proofErr w:type="spellStart"/>
      <w:r w:rsidRPr="00B412ED">
        <w:rPr>
          <w:bCs/>
          <w:spacing w:val="-4"/>
          <w:lang w:val="fr-CH"/>
        </w:rPr>
        <w:t>Foos</w:t>
      </w:r>
      <w:proofErr w:type="spellEnd"/>
      <w:r w:rsidRPr="00B412ED">
        <w:rPr>
          <w:bCs/>
          <w:spacing w:val="-4"/>
          <w:lang w:val="fr-CH"/>
        </w:rPr>
        <w:t xml:space="preserve"> parviennent à démontrer que les campagnes médiatiques à long terme peuvent tout à fait avoir un impact sur les </w:t>
      </w:r>
      <w:r w:rsidR="003B0C1A" w:rsidRPr="00B412ED">
        <w:rPr>
          <w:bCs/>
          <w:spacing w:val="-4"/>
          <w:lang w:val="fr-CH"/>
        </w:rPr>
        <w:t>opinions</w:t>
      </w:r>
      <w:r w:rsidRPr="00B412ED">
        <w:rPr>
          <w:bCs/>
          <w:spacing w:val="-4"/>
          <w:lang w:val="fr-CH"/>
        </w:rPr>
        <w:t xml:space="preserve"> politiques – en particulier sur les sujets pour lesquels les opinions ne sont pas encore consolidées.</w:t>
      </w:r>
    </w:p>
    <w:p w14:paraId="7283072A" w14:textId="77777777" w:rsidR="00234EDB" w:rsidRPr="00B412ED" w:rsidRDefault="00234EDB" w:rsidP="007E5114">
      <w:pPr>
        <w:spacing w:before="1" w:line="276" w:lineRule="auto"/>
        <w:rPr>
          <w:bCs/>
          <w:spacing w:val="-4"/>
          <w:lang w:val="fr-CH"/>
        </w:rPr>
      </w:pPr>
    </w:p>
    <w:p w14:paraId="72EFC42B" w14:textId="2DF8F8F2" w:rsidR="009D38C3" w:rsidRPr="00B412ED" w:rsidRDefault="00FF123E" w:rsidP="007D60A7">
      <w:pPr>
        <w:pStyle w:val="berschrift1"/>
        <w:spacing w:line="276" w:lineRule="auto"/>
        <w:ind w:left="0"/>
        <w:rPr>
          <w:spacing w:val="-2"/>
          <w:lang w:val="fr-CH"/>
        </w:rPr>
      </w:pPr>
      <w:r w:rsidRPr="00B412ED">
        <w:rPr>
          <w:spacing w:val="-2"/>
          <w:lang w:val="fr-CH"/>
        </w:rPr>
        <w:t>Argent</w:t>
      </w:r>
      <w:r w:rsidR="00E5773C" w:rsidRPr="00B412ED">
        <w:rPr>
          <w:spacing w:val="-2"/>
          <w:lang w:val="fr-CH"/>
        </w:rPr>
        <w:t> :</w:t>
      </w:r>
      <w:r w:rsidR="00C57B68" w:rsidRPr="00B412ED">
        <w:rPr>
          <w:spacing w:val="-2"/>
          <w:lang w:val="fr-CH"/>
        </w:rPr>
        <w:t xml:space="preserve"> </w:t>
      </w:r>
      <w:r w:rsidR="00E5773C" w:rsidRPr="00B412ED">
        <w:rPr>
          <w:spacing w:val="-2"/>
          <w:lang w:val="fr-CH"/>
        </w:rPr>
        <w:t>l</w:t>
      </w:r>
      <w:r w:rsidRPr="00B412ED">
        <w:rPr>
          <w:spacing w:val="-2"/>
          <w:lang w:val="fr-CH"/>
        </w:rPr>
        <w:t>a conception soviétique de l</w:t>
      </w:r>
      <w:r w:rsidR="00710C7A" w:rsidRPr="00B412ED">
        <w:rPr>
          <w:spacing w:val="-2"/>
          <w:lang w:val="fr-CH"/>
        </w:rPr>
        <w:t>’</w:t>
      </w:r>
      <w:r w:rsidRPr="00B412ED">
        <w:rPr>
          <w:spacing w:val="-2"/>
          <w:lang w:val="fr-CH"/>
        </w:rPr>
        <w:t>être humain et de l</w:t>
      </w:r>
      <w:r w:rsidR="00710C7A" w:rsidRPr="00B412ED">
        <w:rPr>
          <w:spacing w:val="-2"/>
          <w:lang w:val="fr-CH"/>
        </w:rPr>
        <w:t>’</w:t>
      </w:r>
      <w:r w:rsidRPr="00B412ED">
        <w:rPr>
          <w:spacing w:val="-2"/>
          <w:lang w:val="fr-CH"/>
        </w:rPr>
        <w:t>environnement dans l</w:t>
      </w:r>
      <w:r w:rsidR="00710C7A" w:rsidRPr="00B412ED">
        <w:rPr>
          <w:spacing w:val="-2"/>
          <w:lang w:val="fr-CH"/>
        </w:rPr>
        <w:t>’</w:t>
      </w:r>
      <w:r w:rsidRPr="00B412ED">
        <w:rPr>
          <w:spacing w:val="-2"/>
          <w:lang w:val="fr-CH"/>
        </w:rPr>
        <w:t>après-guerre</w:t>
      </w:r>
    </w:p>
    <w:p w14:paraId="28AF351F" w14:textId="6495A3ED" w:rsidR="00C57B68" w:rsidRPr="00B412ED" w:rsidRDefault="00C57B68" w:rsidP="007D60A7">
      <w:pPr>
        <w:pStyle w:val="berschrift1"/>
        <w:spacing w:line="276" w:lineRule="auto"/>
        <w:ind w:left="0"/>
        <w:rPr>
          <w:spacing w:val="-2"/>
          <w:lang w:val="fr-CH"/>
        </w:rPr>
      </w:pPr>
    </w:p>
    <w:p w14:paraId="5A974E9D" w14:textId="3221627C" w:rsidR="00E5773C" w:rsidRPr="00B412ED" w:rsidRDefault="00E5773C" w:rsidP="00F30BA5">
      <w:pPr>
        <w:rPr>
          <w:b/>
          <w:bCs/>
          <w:spacing w:val="-2"/>
          <w:lang w:val="fr-CH"/>
        </w:rPr>
      </w:pPr>
      <w:r w:rsidRPr="00027020">
        <w:rPr>
          <w:lang w:val="fr-CH"/>
        </w:rPr>
        <w:t>En 1946, le musée régional de Tcheliabinsk a ouvert une exposition sur le rôle de l</w:t>
      </w:r>
      <w:r w:rsidR="00710C7A" w:rsidRPr="00027020">
        <w:rPr>
          <w:lang w:val="fr-CH"/>
        </w:rPr>
        <w:t>’</w:t>
      </w:r>
      <w:r w:rsidRPr="00027020">
        <w:rPr>
          <w:lang w:val="fr-CH"/>
        </w:rPr>
        <w:t xml:space="preserve">Union soviétique pendant la Seconde Guerre mondiale, appelée « Great </w:t>
      </w:r>
      <w:proofErr w:type="spellStart"/>
      <w:r w:rsidRPr="00027020">
        <w:rPr>
          <w:lang w:val="fr-CH"/>
        </w:rPr>
        <w:t>Patriotic</w:t>
      </w:r>
      <w:proofErr w:type="spellEnd"/>
      <w:r w:rsidRPr="00027020">
        <w:rPr>
          <w:lang w:val="fr-CH"/>
        </w:rPr>
        <w:t xml:space="preserve"> </w:t>
      </w:r>
      <w:proofErr w:type="spellStart"/>
      <w:r w:rsidRPr="00027020">
        <w:rPr>
          <w:lang w:val="fr-CH"/>
        </w:rPr>
        <w:t>War</w:t>
      </w:r>
      <w:proofErr w:type="spellEnd"/>
      <w:r w:rsidRPr="00027020">
        <w:rPr>
          <w:lang w:val="fr-CH"/>
        </w:rPr>
        <w:t> ». L</w:t>
      </w:r>
      <w:r w:rsidR="00710C7A" w:rsidRPr="00027020">
        <w:rPr>
          <w:lang w:val="fr-CH"/>
        </w:rPr>
        <w:t>’</w:t>
      </w:r>
      <w:r w:rsidRPr="00027020">
        <w:rPr>
          <w:lang w:val="fr-CH"/>
        </w:rPr>
        <w:t>accent n</w:t>
      </w:r>
      <w:r w:rsidR="00710C7A" w:rsidRPr="00027020">
        <w:rPr>
          <w:lang w:val="fr-CH"/>
        </w:rPr>
        <w:t>’</w:t>
      </w:r>
      <w:r w:rsidRPr="00027020">
        <w:rPr>
          <w:lang w:val="fr-CH"/>
        </w:rPr>
        <w:t>y était pas mis sur les performances humaines, mais sur les ressources minières de la région sud de l</w:t>
      </w:r>
      <w:r w:rsidR="00710C7A" w:rsidRPr="00027020">
        <w:rPr>
          <w:lang w:val="fr-CH"/>
        </w:rPr>
        <w:t>’</w:t>
      </w:r>
      <w:r w:rsidRPr="00027020">
        <w:rPr>
          <w:lang w:val="fr-CH"/>
        </w:rPr>
        <w:t>Oural : les minéraux et les métaux, suggérait-on, avaient participé à la victoire soviétique en tant qu</w:t>
      </w:r>
      <w:r w:rsidR="00710C7A" w:rsidRPr="00027020">
        <w:rPr>
          <w:lang w:val="fr-CH"/>
        </w:rPr>
        <w:t>’</w:t>
      </w:r>
      <w:r w:rsidRPr="00027020">
        <w:rPr>
          <w:lang w:val="fr-CH"/>
        </w:rPr>
        <w:t>objets importants pour la guerre. L</w:t>
      </w:r>
      <w:r w:rsidR="00710C7A" w:rsidRPr="00027020">
        <w:rPr>
          <w:lang w:val="fr-CH"/>
        </w:rPr>
        <w:t>’</w:t>
      </w:r>
      <w:r w:rsidRPr="00027020">
        <w:rPr>
          <w:lang w:val="fr-CH"/>
        </w:rPr>
        <w:t>exposition s</w:t>
      </w:r>
      <w:r w:rsidR="00710C7A" w:rsidRPr="00027020">
        <w:rPr>
          <w:lang w:val="fr-CH"/>
        </w:rPr>
        <w:t>’</w:t>
      </w:r>
      <w:r w:rsidRPr="00027020">
        <w:rPr>
          <w:lang w:val="fr-CH"/>
        </w:rPr>
        <w:t>étendait de la formation préhistorique de ces ressources minérales à leur présence contemporaine dans la région et à leur importance pour la victoire soviétique. Elle reliait ainsi d</w:t>
      </w:r>
      <w:r w:rsidR="00710C7A" w:rsidRPr="00027020">
        <w:rPr>
          <w:lang w:val="fr-CH"/>
        </w:rPr>
        <w:t>’</w:t>
      </w:r>
      <w:r w:rsidRPr="00027020">
        <w:rPr>
          <w:lang w:val="fr-CH"/>
        </w:rPr>
        <w:t>une part les développements géologiques et historiques, et d</w:t>
      </w:r>
      <w:r w:rsidR="00710C7A" w:rsidRPr="00027020">
        <w:rPr>
          <w:lang w:val="fr-CH"/>
        </w:rPr>
        <w:t>’</w:t>
      </w:r>
      <w:r w:rsidRPr="00027020">
        <w:rPr>
          <w:lang w:val="fr-CH"/>
        </w:rPr>
        <w:t>autre part le niveau régional et national</w:t>
      </w:r>
      <w:r w:rsidRPr="00B412ED">
        <w:rPr>
          <w:spacing w:val="-2"/>
          <w:lang w:val="fr-CH"/>
        </w:rPr>
        <w:t>.</w:t>
      </w:r>
    </w:p>
    <w:p w14:paraId="31C7DAB0" w14:textId="3F840648" w:rsidR="009D38C3" w:rsidRPr="00B412ED" w:rsidRDefault="000F0A8E" w:rsidP="007D60A7">
      <w:pPr>
        <w:pStyle w:val="berschrift1"/>
        <w:spacing w:line="276" w:lineRule="auto"/>
        <w:ind w:left="0"/>
        <w:rPr>
          <w:b w:val="0"/>
          <w:bCs w:val="0"/>
          <w:spacing w:val="-2"/>
          <w:lang w:val="fr-CH"/>
        </w:rPr>
      </w:pPr>
      <w:r w:rsidRPr="00B412ED">
        <w:rPr>
          <w:b w:val="0"/>
          <w:bCs w:val="0"/>
          <w:spacing w:val="-2"/>
          <w:lang w:val="fr-CH"/>
        </w:rPr>
        <w:br/>
      </w:r>
      <w:r w:rsidR="00E5773C" w:rsidRPr="00B412ED">
        <w:rPr>
          <w:b w:val="0"/>
          <w:bCs w:val="0"/>
          <w:spacing w:val="-2"/>
          <w:lang w:val="fr-CH"/>
        </w:rPr>
        <w:t>Dans leur article primé, Felix Frey et Ann</w:t>
      </w:r>
      <w:r w:rsidR="00EA2D1A">
        <w:rPr>
          <w:b w:val="0"/>
          <w:bCs w:val="0"/>
          <w:spacing w:val="-2"/>
          <w:lang w:val="fr-CH"/>
        </w:rPr>
        <w:t>e</w:t>
      </w:r>
      <w:r w:rsidR="00C20336">
        <w:rPr>
          <w:b w:val="0"/>
          <w:bCs w:val="0"/>
          <w:spacing w:val="-2"/>
          <w:lang w:val="fr-CH"/>
        </w:rPr>
        <w:t xml:space="preserve"> E.</w:t>
      </w:r>
      <w:r w:rsidR="00E5773C" w:rsidRPr="00B412ED">
        <w:rPr>
          <w:b w:val="0"/>
          <w:bCs w:val="0"/>
          <w:spacing w:val="-2"/>
          <w:lang w:val="fr-CH"/>
        </w:rPr>
        <w:t xml:space="preserve"> </w:t>
      </w:r>
      <w:proofErr w:type="spellStart"/>
      <w:r w:rsidR="00E5773C" w:rsidRPr="00B412ED">
        <w:rPr>
          <w:b w:val="0"/>
          <w:bCs w:val="0"/>
          <w:spacing w:val="-2"/>
          <w:lang w:val="fr-CH"/>
        </w:rPr>
        <w:t>Hasselmann</w:t>
      </w:r>
      <w:proofErr w:type="spellEnd"/>
      <w:r w:rsidR="00E5773C" w:rsidRPr="00B412ED">
        <w:rPr>
          <w:b w:val="0"/>
          <w:bCs w:val="0"/>
          <w:spacing w:val="-2"/>
          <w:lang w:val="fr-CH"/>
        </w:rPr>
        <w:t xml:space="preserve"> décrivent de manière impressionnante comment l</w:t>
      </w:r>
      <w:r w:rsidR="00710C7A" w:rsidRPr="00B412ED">
        <w:rPr>
          <w:b w:val="0"/>
          <w:bCs w:val="0"/>
          <w:spacing w:val="-2"/>
          <w:lang w:val="fr-CH"/>
        </w:rPr>
        <w:t>’</w:t>
      </w:r>
      <w:r w:rsidR="00E5773C" w:rsidRPr="00B412ED">
        <w:rPr>
          <w:b w:val="0"/>
          <w:bCs w:val="0"/>
          <w:spacing w:val="-2"/>
          <w:lang w:val="fr-CH"/>
        </w:rPr>
        <w:t>exposition de Tcheliabinsk s</w:t>
      </w:r>
      <w:r w:rsidR="00710C7A" w:rsidRPr="00B412ED">
        <w:rPr>
          <w:b w:val="0"/>
          <w:bCs w:val="0"/>
          <w:spacing w:val="-2"/>
          <w:lang w:val="fr-CH"/>
        </w:rPr>
        <w:t>’</w:t>
      </w:r>
      <w:r w:rsidR="00E5773C" w:rsidRPr="00B412ED">
        <w:rPr>
          <w:b w:val="0"/>
          <w:bCs w:val="0"/>
          <w:spacing w:val="-2"/>
          <w:lang w:val="fr-CH"/>
        </w:rPr>
        <w:t>est inscrite dans la compréhension internationale et spécifiquement soviétique de l</w:t>
      </w:r>
      <w:r w:rsidR="00710C7A" w:rsidRPr="00B412ED">
        <w:rPr>
          <w:b w:val="0"/>
          <w:bCs w:val="0"/>
          <w:spacing w:val="-2"/>
          <w:lang w:val="fr-CH"/>
        </w:rPr>
        <w:t>’</w:t>
      </w:r>
      <w:r w:rsidR="00E5773C" w:rsidRPr="00B412ED">
        <w:rPr>
          <w:b w:val="0"/>
          <w:bCs w:val="0"/>
          <w:spacing w:val="-2"/>
          <w:lang w:val="fr-CH"/>
        </w:rPr>
        <w:t>être humain et de l</w:t>
      </w:r>
      <w:r w:rsidR="00710C7A" w:rsidRPr="00B412ED">
        <w:rPr>
          <w:b w:val="0"/>
          <w:bCs w:val="0"/>
          <w:spacing w:val="-2"/>
          <w:lang w:val="fr-CH"/>
        </w:rPr>
        <w:t>’</w:t>
      </w:r>
      <w:r w:rsidR="00E5773C" w:rsidRPr="00B412ED">
        <w:rPr>
          <w:b w:val="0"/>
          <w:bCs w:val="0"/>
          <w:spacing w:val="-2"/>
          <w:lang w:val="fr-CH"/>
        </w:rPr>
        <w:t>environnement : en donnant le rôle principal aux ressources minérales, elle a montré comment les facteurs environnementaux permettent et limitent en même temps l</w:t>
      </w:r>
      <w:r w:rsidR="00710C7A" w:rsidRPr="00B412ED">
        <w:rPr>
          <w:b w:val="0"/>
          <w:bCs w:val="0"/>
          <w:spacing w:val="-2"/>
          <w:lang w:val="fr-CH"/>
        </w:rPr>
        <w:t>’</w:t>
      </w:r>
      <w:r w:rsidR="00E5773C" w:rsidRPr="00B412ED">
        <w:rPr>
          <w:b w:val="0"/>
          <w:bCs w:val="0"/>
          <w:spacing w:val="-2"/>
          <w:lang w:val="fr-CH"/>
        </w:rPr>
        <w:t>action humaine. Cela correspondait à une conception des géosciences répandue à l</w:t>
      </w:r>
      <w:r w:rsidR="00710C7A" w:rsidRPr="00B412ED">
        <w:rPr>
          <w:b w:val="0"/>
          <w:bCs w:val="0"/>
          <w:spacing w:val="-2"/>
          <w:lang w:val="fr-CH"/>
        </w:rPr>
        <w:t>’</w:t>
      </w:r>
      <w:r w:rsidR="00E5773C" w:rsidRPr="00B412ED">
        <w:rPr>
          <w:b w:val="0"/>
          <w:bCs w:val="0"/>
          <w:spacing w:val="-2"/>
          <w:lang w:val="fr-CH"/>
        </w:rPr>
        <w:t>époque au niveau international. En même temps, l</w:t>
      </w:r>
      <w:r w:rsidR="00710C7A" w:rsidRPr="00B412ED">
        <w:rPr>
          <w:b w:val="0"/>
          <w:bCs w:val="0"/>
          <w:spacing w:val="-2"/>
          <w:lang w:val="fr-CH"/>
        </w:rPr>
        <w:t>’</w:t>
      </w:r>
      <w:r w:rsidR="00E5773C" w:rsidRPr="00B412ED">
        <w:rPr>
          <w:b w:val="0"/>
          <w:bCs w:val="0"/>
          <w:spacing w:val="-2"/>
          <w:lang w:val="fr-CH"/>
        </w:rPr>
        <w:t xml:space="preserve">exposition soulignait que seul le </w:t>
      </w:r>
      <w:r w:rsidR="003B0C1A" w:rsidRPr="00B412ED">
        <w:rPr>
          <w:b w:val="0"/>
          <w:bCs w:val="0"/>
          <w:spacing w:val="-2"/>
          <w:lang w:val="fr-CH"/>
        </w:rPr>
        <w:t>« </w:t>
      </w:r>
      <w:r w:rsidR="00E5773C" w:rsidRPr="00B412ED">
        <w:rPr>
          <w:b w:val="0"/>
          <w:bCs w:val="0"/>
          <w:spacing w:val="-2"/>
          <w:lang w:val="fr-CH"/>
        </w:rPr>
        <w:t>nouvel homme soviétique</w:t>
      </w:r>
      <w:r w:rsidR="003B0C1A" w:rsidRPr="00B412ED">
        <w:rPr>
          <w:b w:val="0"/>
          <w:bCs w:val="0"/>
          <w:spacing w:val="-2"/>
          <w:lang w:val="fr-CH"/>
        </w:rPr>
        <w:t> »</w:t>
      </w:r>
      <w:r w:rsidR="00E5773C" w:rsidRPr="00B412ED">
        <w:rPr>
          <w:b w:val="0"/>
          <w:bCs w:val="0"/>
          <w:spacing w:val="-2"/>
          <w:lang w:val="fr-CH"/>
        </w:rPr>
        <w:t xml:space="preserve"> avait réveillé les ressources minérales de leur sommeil et leur avait conféré une utilité. Elle attribuait ainsi à l</w:t>
      </w:r>
      <w:r w:rsidR="00710C7A" w:rsidRPr="00B412ED">
        <w:rPr>
          <w:b w:val="0"/>
          <w:bCs w:val="0"/>
          <w:spacing w:val="-2"/>
          <w:lang w:val="fr-CH"/>
        </w:rPr>
        <w:t>’</w:t>
      </w:r>
      <w:r w:rsidR="00E5773C" w:rsidRPr="00B412ED">
        <w:rPr>
          <w:b w:val="0"/>
          <w:bCs w:val="0"/>
          <w:spacing w:val="-2"/>
          <w:lang w:val="fr-CH"/>
        </w:rPr>
        <w:t>être humain le rôle dominant dans son interaction avec la nature et correspondait au récit patriotique exigé.</w:t>
      </w:r>
    </w:p>
    <w:p w14:paraId="5C233670" w14:textId="77777777" w:rsidR="009D38C3" w:rsidRPr="00B412ED" w:rsidRDefault="009D38C3" w:rsidP="007D60A7">
      <w:pPr>
        <w:pStyle w:val="Textkrper"/>
        <w:spacing w:before="2" w:line="276" w:lineRule="auto"/>
        <w:rPr>
          <w:rFonts w:ascii="Arial"/>
          <w:lang w:val="fr-CH"/>
        </w:rPr>
      </w:pPr>
    </w:p>
    <w:p w14:paraId="4DEC6038" w14:textId="39E95102" w:rsidR="009D38C3" w:rsidRPr="00B412ED" w:rsidRDefault="00314E27" w:rsidP="007D60A7">
      <w:pPr>
        <w:spacing w:before="59" w:line="276" w:lineRule="auto"/>
        <w:rPr>
          <w:b/>
          <w:color w:val="131413"/>
          <w:spacing w:val="-2"/>
          <w:lang w:val="fr-CH"/>
        </w:rPr>
      </w:pPr>
      <w:r w:rsidRPr="00B412ED">
        <w:rPr>
          <w:b/>
          <w:color w:val="131413"/>
          <w:spacing w:val="-2"/>
          <w:lang w:val="fr-CH"/>
        </w:rPr>
        <w:t xml:space="preserve">Bronze : </w:t>
      </w:r>
      <w:r w:rsidR="003B0C1A" w:rsidRPr="00B412ED">
        <w:rPr>
          <w:b/>
          <w:color w:val="131413"/>
          <w:spacing w:val="-2"/>
          <w:lang w:val="fr-CH"/>
        </w:rPr>
        <w:t>c</w:t>
      </w:r>
      <w:r w:rsidRPr="00B412ED">
        <w:rPr>
          <w:b/>
          <w:color w:val="131413"/>
          <w:spacing w:val="-2"/>
          <w:lang w:val="fr-CH"/>
        </w:rPr>
        <w:t>apacités motrices et performances mathématiques à l</w:t>
      </w:r>
      <w:r w:rsidR="00710C7A" w:rsidRPr="00B412ED">
        <w:rPr>
          <w:b/>
          <w:color w:val="131413"/>
          <w:spacing w:val="-2"/>
          <w:lang w:val="fr-CH"/>
        </w:rPr>
        <w:t>’</w:t>
      </w:r>
      <w:r w:rsidRPr="00B412ED">
        <w:rPr>
          <w:b/>
          <w:color w:val="131413"/>
          <w:spacing w:val="-2"/>
          <w:lang w:val="fr-CH"/>
        </w:rPr>
        <w:t>âge préscolaire</w:t>
      </w:r>
    </w:p>
    <w:p w14:paraId="486B7F3B" w14:textId="01D92D47" w:rsidR="00850224" w:rsidRPr="00B412ED" w:rsidRDefault="00314E27" w:rsidP="007D60A7">
      <w:pPr>
        <w:spacing w:before="59" w:line="276" w:lineRule="auto"/>
        <w:rPr>
          <w:bCs/>
          <w:color w:val="131413"/>
          <w:spacing w:val="-2"/>
          <w:lang w:val="fr-CH"/>
        </w:rPr>
      </w:pPr>
      <w:r w:rsidRPr="00B412ED">
        <w:rPr>
          <w:bCs/>
          <w:color w:val="131413"/>
          <w:spacing w:val="-2"/>
          <w:lang w:val="fr-CH"/>
        </w:rPr>
        <w:t>Quelles compétences en âge préscolaire posent les bases de la réussite académique ? L</w:t>
      </w:r>
      <w:r w:rsidR="00710C7A" w:rsidRPr="00B412ED">
        <w:rPr>
          <w:bCs/>
          <w:color w:val="131413"/>
          <w:spacing w:val="-2"/>
          <w:lang w:val="fr-CH"/>
        </w:rPr>
        <w:t>’</w:t>
      </w:r>
      <w:r w:rsidRPr="00B412ED">
        <w:rPr>
          <w:bCs/>
          <w:color w:val="131413"/>
          <w:spacing w:val="-2"/>
          <w:lang w:val="fr-CH"/>
        </w:rPr>
        <w:t xml:space="preserve">article primé de la psychologue Thalia </w:t>
      </w:r>
      <w:proofErr w:type="spellStart"/>
      <w:r w:rsidRPr="00B412ED">
        <w:rPr>
          <w:bCs/>
          <w:color w:val="131413"/>
          <w:spacing w:val="-2"/>
          <w:lang w:val="fr-CH"/>
        </w:rPr>
        <w:t>Cavadini</w:t>
      </w:r>
      <w:proofErr w:type="spellEnd"/>
      <w:r w:rsidRPr="00B412ED">
        <w:rPr>
          <w:bCs/>
          <w:color w:val="131413"/>
          <w:spacing w:val="-2"/>
          <w:lang w:val="fr-CH"/>
        </w:rPr>
        <w:t xml:space="preserve"> et de ses collègues apporte une contribution importante à cette question. En collaboration avec </w:t>
      </w:r>
      <w:proofErr w:type="gramStart"/>
      <w:r w:rsidRPr="00B412ED">
        <w:rPr>
          <w:bCs/>
          <w:color w:val="131413"/>
          <w:spacing w:val="-2"/>
          <w:lang w:val="fr-CH"/>
        </w:rPr>
        <w:t xml:space="preserve">les </w:t>
      </w:r>
      <w:proofErr w:type="spellStart"/>
      <w:r w:rsidRPr="00B412ED">
        <w:rPr>
          <w:bCs/>
          <w:color w:val="131413"/>
          <w:spacing w:val="-2"/>
          <w:lang w:val="fr-CH"/>
        </w:rPr>
        <w:t>enseignant</w:t>
      </w:r>
      <w:proofErr w:type="gramEnd"/>
      <w:r w:rsidRPr="00B412ED">
        <w:rPr>
          <w:bCs/>
          <w:color w:val="131413"/>
          <w:spacing w:val="-2"/>
          <w:lang w:val="fr-CH"/>
        </w:rPr>
        <w:t>·e·s</w:t>
      </w:r>
      <w:proofErr w:type="spellEnd"/>
      <w:r w:rsidRPr="00B412ED">
        <w:rPr>
          <w:bCs/>
          <w:color w:val="131413"/>
          <w:spacing w:val="-2"/>
          <w:lang w:val="fr-CH"/>
        </w:rPr>
        <w:t xml:space="preserve">, les </w:t>
      </w:r>
      <w:proofErr w:type="spellStart"/>
      <w:r w:rsidRPr="00B412ED">
        <w:rPr>
          <w:bCs/>
          <w:color w:val="131413"/>
          <w:spacing w:val="-2"/>
          <w:lang w:val="fr-CH"/>
        </w:rPr>
        <w:t>auteur·e·s</w:t>
      </w:r>
      <w:proofErr w:type="spellEnd"/>
      <w:r w:rsidRPr="00B412ED">
        <w:rPr>
          <w:bCs/>
          <w:color w:val="131413"/>
          <w:spacing w:val="-2"/>
          <w:lang w:val="fr-CH"/>
        </w:rPr>
        <w:t xml:space="preserve"> ont évalué les connaissances émotionnelles, la capacité de coopération et les aptitudes motrices ainsi que les performances en mathématiques de 706 enfants âgés de trois à six ans. L</w:t>
      </w:r>
      <w:r w:rsidR="00710C7A" w:rsidRPr="00B412ED">
        <w:rPr>
          <w:bCs/>
          <w:color w:val="131413"/>
          <w:spacing w:val="-2"/>
          <w:lang w:val="fr-CH"/>
        </w:rPr>
        <w:t>’</w:t>
      </w:r>
      <w:r w:rsidRPr="00B412ED">
        <w:rPr>
          <w:bCs/>
          <w:color w:val="131413"/>
          <w:spacing w:val="-2"/>
          <w:lang w:val="fr-CH"/>
        </w:rPr>
        <w:t>évaluation montre que les trois compétences de base</w:t>
      </w:r>
      <w:r w:rsidR="003B0C1A" w:rsidRPr="00B412ED">
        <w:rPr>
          <w:bCs/>
          <w:color w:val="131413"/>
          <w:spacing w:val="-2"/>
          <w:lang w:val="fr-CH"/>
        </w:rPr>
        <w:t xml:space="preserve"> nommées ci-dessus</w:t>
      </w:r>
      <w:r w:rsidRPr="00B412ED">
        <w:rPr>
          <w:bCs/>
          <w:color w:val="131413"/>
          <w:spacing w:val="-2"/>
          <w:lang w:val="fr-CH"/>
        </w:rPr>
        <w:t xml:space="preserve"> sont déterminantes pour les performances en mathématiques. De plus, elles se conditionnent mutuellement : ainsi, les enfants ayant de meilleures capacités motrices présentent un savoir émotionnel plus élevé. Les enfants qui ont une meilleure connaissance des émotions ont à leur tour un comportement plus coopératif.</w:t>
      </w:r>
    </w:p>
    <w:p w14:paraId="23524EF0" w14:textId="77777777" w:rsidR="00314E27" w:rsidRPr="00B412ED" w:rsidRDefault="00314E27" w:rsidP="007D60A7">
      <w:pPr>
        <w:spacing w:before="59" w:line="276" w:lineRule="auto"/>
        <w:rPr>
          <w:bCs/>
          <w:color w:val="131413"/>
          <w:spacing w:val="-2"/>
          <w:lang w:val="fr-CH"/>
        </w:rPr>
      </w:pPr>
    </w:p>
    <w:p w14:paraId="6E08D99E" w14:textId="572E946E" w:rsidR="009D38C3" w:rsidRPr="00B412ED" w:rsidRDefault="00314E27" w:rsidP="007D60A7">
      <w:pPr>
        <w:pStyle w:val="Textkrper"/>
        <w:spacing w:before="6" w:line="276" w:lineRule="auto"/>
        <w:rPr>
          <w:bCs/>
          <w:color w:val="131413"/>
          <w:spacing w:val="-2"/>
          <w:lang w:val="fr-CH"/>
        </w:rPr>
      </w:pPr>
      <w:r w:rsidRPr="00B412ED">
        <w:rPr>
          <w:bCs/>
          <w:color w:val="131413"/>
          <w:spacing w:val="-2"/>
          <w:lang w:val="fr-CH"/>
        </w:rPr>
        <w:t>Les auteur·e·</w:t>
      </w:r>
      <w:proofErr w:type="spellStart"/>
      <w:r w:rsidRPr="00B412ED">
        <w:rPr>
          <w:bCs/>
          <w:color w:val="131413"/>
          <w:spacing w:val="-2"/>
          <w:lang w:val="fr-CH"/>
        </w:rPr>
        <w:t>s esquissent</w:t>
      </w:r>
      <w:proofErr w:type="spellEnd"/>
      <w:r w:rsidRPr="00B412ED">
        <w:rPr>
          <w:bCs/>
          <w:color w:val="131413"/>
          <w:spacing w:val="-2"/>
          <w:lang w:val="fr-CH"/>
        </w:rPr>
        <w:t xml:space="preserve"> trois explications pour les liens trouvés. Premièrement, les connaissances émotionnelles et la capacité à coopérer permettent d</w:t>
      </w:r>
      <w:r w:rsidR="00710C7A" w:rsidRPr="00B412ED">
        <w:rPr>
          <w:bCs/>
          <w:color w:val="131413"/>
          <w:spacing w:val="-2"/>
          <w:lang w:val="fr-CH"/>
        </w:rPr>
        <w:t>’</w:t>
      </w:r>
      <w:r w:rsidRPr="00B412ED">
        <w:rPr>
          <w:bCs/>
          <w:color w:val="131413"/>
          <w:spacing w:val="-2"/>
          <w:lang w:val="fr-CH"/>
        </w:rPr>
        <w:t>établir de bonnes relations avec le corps enseignant et les autres élèves. L</w:t>
      </w:r>
      <w:r w:rsidR="00710C7A" w:rsidRPr="00B412ED">
        <w:rPr>
          <w:bCs/>
          <w:color w:val="131413"/>
          <w:spacing w:val="-2"/>
          <w:lang w:val="fr-CH"/>
        </w:rPr>
        <w:t>’</w:t>
      </w:r>
      <w:r w:rsidRPr="00B412ED">
        <w:rPr>
          <w:bCs/>
          <w:color w:val="131413"/>
          <w:spacing w:val="-2"/>
          <w:lang w:val="fr-CH"/>
        </w:rPr>
        <w:t>apprentissage étant un processus social, cela favorise la réussite scolaire. Il est supposé que les enfants ayant de bonnes capacités motrices jouent plus souvent et acquièrent donc un savoir émotionnel plus élevé. Deuxièmement, il est possible que les connaissances émotionnelles et les compétences intellectuelles se chevauchent partiellement, par exemple en ce qui concerne la dénomination des émotions et des chiffres. Troisièmement, il existe des preuves que l</w:t>
      </w:r>
      <w:r w:rsidR="00710C7A" w:rsidRPr="00B412ED">
        <w:rPr>
          <w:bCs/>
          <w:color w:val="131413"/>
          <w:spacing w:val="-2"/>
          <w:lang w:val="fr-CH"/>
        </w:rPr>
        <w:t>’</w:t>
      </w:r>
      <w:r w:rsidRPr="00B412ED">
        <w:rPr>
          <w:bCs/>
          <w:color w:val="131413"/>
          <w:spacing w:val="-2"/>
          <w:lang w:val="fr-CH"/>
        </w:rPr>
        <w:t>activité motrice chez les jeunes enfants favorise le développement de capacités d</w:t>
      </w:r>
      <w:r w:rsidR="00710C7A" w:rsidRPr="00B412ED">
        <w:rPr>
          <w:bCs/>
          <w:color w:val="131413"/>
          <w:spacing w:val="-2"/>
          <w:lang w:val="fr-CH"/>
        </w:rPr>
        <w:t>’</w:t>
      </w:r>
      <w:r w:rsidRPr="00B412ED">
        <w:rPr>
          <w:bCs/>
          <w:color w:val="131413"/>
          <w:spacing w:val="-2"/>
          <w:lang w:val="fr-CH"/>
        </w:rPr>
        <w:t xml:space="preserve">autorégulation, appelées </w:t>
      </w:r>
      <w:r w:rsidR="00710C7A" w:rsidRPr="00B412ED">
        <w:rPr>
          <w:bCs/>
          <w:color w:val="131413"/>
          <w:spacing w:val="-2"/>
          <w:lang w:val="fr-CH"/>
        </w:rPr>
        <w:t>« </w:t>
      </w:r>
      <w:r w:rsidRPr="00B412ED">
        <w:rPr>
          <w:bCs/>
          <w:color w:val="131413"/>
          <w:spacing w:val="-2"/>
          <w:lang w:val="fr-CH"/>
        </w:rPr>
        <w:t>fonctions exécutives</w:t>
      </w:r>
      <w:r w:rsidR="00710C7A" w:rsidRPr="00B412ED">
        <w:rPr>
          <w:bCs/>
          <w:color w:val="131413"/>
          <w:spacing w:val="-2"/>
          <w:lang w:val="fr-CH"/>
        </w:rPr>
        <w:t> »</w:t>
      </w:r>
      <w:r w:rsidRPr="00B412ED">
        <w:rPr>
          <w:bCs/>
          <w:color w:val="131413"/>
          <w:spacing w:val="-2"/>
          <w:lang w:val="fr-CH"/>
        </w:rPr>
        <w:t xml:space="preserve"> ; notamment le contrôle des impulsions, qui permet de mieux gérer les distractions</w:t>
      </w:r>
      <w:r w:rsidR="00710C7A" w:rsidRPr="00B412ED">
        <w:rPr>
          <w:bCs/>
          <w:color w:val="131413"/>
          <w:spacing w:val="-2"/>
          <w:lang w:val="fr-CH"/>
        </w:rPr>
        <w:t>.</w:t>
      </w:r>
    </w:p>
    <w:p w14:paraId="1CDC127F" w14:textId="77777777" w:rsidR="00314E27" w:rsidRPr="00B412ED" w:rsidRDefault="00314E27" w:rsidP="007D60A7">
      <w:pPr>
        <w:pStyle w:val="Textkrper"/>
        <w:spacing w:before="6" w:line="276" w:lineRule="auto"/>
        <w:rPr>
          <w:sz w:val="26"/>
          <w:lang w:val="fr-CH"/>
        </w:rPr>
      </w:pPr>
    </w:p>
    <w:p w14:paraId="64917C02" w14:textId="0C30C7A6" w:rsidR="009D38C3" w:rsidRPr="00B412ED" w:rsidRDefault="001C1A7E" w:rsidP="007D60A7">
      <w:pPr>
        <w:pStyle w:val="berschrift1"/>
        <w:spacing w:line="276" w:lineRule="auto"/>
        <w:ind w:left="0"/>
        <w:rPr>
          <w:lang w:val="fr-CH"/>
        </w:rPr>
      </w:pPr>
      <w:r w:rsidRPr="00B412ED">
        <w:rPr>
          <w:lang w:val="fr-CH"/>
        </w:rPr>
        <w:t>10</w:t>
      </w:r>
      <w:r w:rsidR="00DB5673" w:rsidRPr="00B412ED">
        <w:rPr>
          <w:lang w:val="fr-CH"/>
        </w:rPr>
        <w:t>0</w:t>
      </w:r>
      <w:r w:rsidRPr="00B412ED">
        <w:rPr>
          <w:spacing w:val="-8"/>
          <w:lang w:val="fr-CH"/>
        </w:rPr>
        <w:t xml:space="preserve"> </w:t>
      </w:r>
      <w:r w:rsidR="00E42D57" w:rsidRPr="00B412ED">
        <w:rPr>
          <w:lang w:val="fr-CH"/>
        </w:rPr>
        <w:t>candidatures provenant de plus de</w:t>
      </w:r>
      <w:r w:rsidR="009D42C5" w:rsidRPr="00B412ED">
        <w:rPr>
          <w:spacing w:val="-6"/>
          <w:lang w:val="fr-CH"/>
        </w:rPr>
        <w:t xml:space="preserve"> 20 </w:t>
      </w:r>
      <w:r w:rsidR="00E42D57" w:rsidRPr="00B412ED">
        <w:rPr>
          <w:spacing w:val="-6"/>
          <w:lang w:val="fr-CH"/>
        </w:rPr>
        <w:t>disciplines</w:t>
      </w:r>
    </w:p>
    <w:p w14:paraId="3C4F3976" w14:textId="4C66A77B" w:rsidR="009D38C3" w:rsidRPr="0006036C" w:rsidRDefault="00B05720" w:rsidP="00B05720">
      <w:pPr>
        <w:pStyle w:val="Textkrper"/>
        <w:spacing w:before="44" w:line="276" w:lineRule="auto"/>
        <w:ind w:right="469"/>
        <w:rPr>
          <w:lang w:val="fr-CH"/>
        </w:rPr>
      </w:pPr>
      <w:r w:rsidRPr="00B412ED">
        <w:rPr>
          <w:lang w:val="fr-CH"/>
        </w:rPr>
        <w:t xml:space="preserve">100 </w:t>
      </w:r>
      <w:r w:rsidR="0006036C" w:rsidRPr="00B412ED">
        <w:rPr>
          <w:lang w:val="fr-CH"/>
        </w:rPr>
        <w:t>articles scientifiques étaient en lice pour le</w:t>
      </w:r>
      <w:r w:rsidRPr="00B412ED">
        <w:rPr>
          <w:lang w:val="fr-CH"/>
        </w:rPr>
        <w:t xml:space="preserve"> </w:t>
      </w:r>
      <w:r w:rsidR="00E42D57" w:rsidRPr="00B412ED">
        <w:rPr>
          <w:lang w:val="fr-CH"/>
        </w:rPr>
        <w:t xml:space="preserve">Prix </w:t>
      </w:r>
      <w:r w:rsidR="007A43E8" w:rsidRPr="00B412ED">
        <w:rPr>
          <w:lang w:val="fr-CH"/>
        </w:rPr>
        <w:t xml:space="preserve">de la </w:t>
      </w:r>
      <w:r w:rsidR="00E42D57" w:rsidRPr="00B412ED">
        <w:rPr>
          <w:lang w:val="fr-CH"/>
        </w:rPr>
        <w:t>Relève</w:t>
      </w:r>
      <w:r w:rsidR="007777C7" w:rsidRPr="00B412ED">
        <w:rPr>
          <w:lang w:val="fr-CH"/>
        </w:rPr>
        <w:t xml:space="preserve">. Un </w:t>
      </w:r>
      <w:r w:rsidR="0006036C" w:rsidRPr="00B412ED">
        <w:rPr>
          <w:lang w:val="fr-CH"/>
        </w:rPr>
        <w:t xml:space="preserve">quart des articles </w:t>
      </w:r>
      <w:r w:rsidR="007777C7" w:rsidRPr="00B412ED">
        <w:rPr>
          <w:lang w:val="fr-CH"/>
        </w:rPr>
        <w:t>sont</w:t>
      </w:r>
      <w:r w:rsidR="0006036C" w:rsidRPr="00B412ED">
        <w:rPr>
          <w:lang w:val="fr-CH"/>
        </w:rPr>
        <w:t xml:space="preserve"> interdisciplinaires</w:t>
      </w:r>
      <w:r w:rsidR="007777C7" w:rsidRPr="00B412ED">
        <w:rPr>
          <w:lang w:val="fr-CH"/>
        </w:rPr>
        <w:t xml:space="preserve">, c’est-à-dire basés sur des projets de recherche rassemblant plusieurs perspectives disciplinaires. </w:t>
      </w:r>
      <w:r w:rsidR="00B412ED" w:rsidRPr="00B412ED">
        <w:rPr>
          <w:lang w:val="fr-CH"/>
        </w:rPr>
        <w:t>L</w:t>
      </w:r>
      <w:r w:rsidR="007777C7" w:rsidRPr="00B412ED">
        <w:rPr>
          <w:lang w:val="fr-CH"/>
        </w:rPr>
        <w:t xml:space="preserve">es </w:t>
      </w:r>
      <w:r w:rsidR="0006036C" w:rsidRPr="00B412ED">
        <w:rPr>
          <w:lang w:val="fr-CH"/>
        </w:rPr>
        <w:t xml:space="preserve">sciences politiques sont les plus représentées avec 13 candidatures, suivies par les sciences historiques (12). </w:t>
      </w:r>
      <w:r w:rsidR="00557C97" w:rsidRPr="00B412ED">
        <w:rPr>
          <w:lang w:val="fr-CH"/>
        </w:rPr>
        <w:br/>
      </w:r>
      <w:r w:rsidRPr="00B412ED">
        <w:rPr>
          <w:lang w:val="fr-CH"/>
        </w:rPr>
        <w:t>Les candidatures émanant d</w:t>
      </w:r>
      <w:r w:rsidR="00710C7A" w:rsidRPr="00B412ED">
        <w:rPr>
          <w:lang w:val="fr-CH"/>
        </w:rPr>
        <w:t>’</w:t>
      </w:r>
      <w:r w:rsidRPr="00B412ED">
        <w:rPr>
          <w:lang w:val="fr-CH"/>
        </w:rPr>
        <w:t>hommes et de</w:t>
      </w:r>
      <w:r w:rsidRPr="0006036C">
        <w:rPr>
          <w:lang w:val="fr-CH"/>
        </w:rPr>
        <w:t xml:space="preserve"> femmes étaient à peu près équilibrées. Environ deux tiers des textes soumis sont rédigés en anglais (68 %), l</w:t>
      </w:r>
      <w:r w:rsidR="00710C7A" w:rsidRPr="0006036C">
        <w:rPr>
          <w:lang w:val="fr-CH"/>
        </w:rPr>
        <w:t>’</w:t>
      </w:r>
      <w:r w:rsidRPr="0006036C">
        <w:rPr>
          <w:lang w:val="fr-CH"/>
        </w:rPr>
        <w:t xml:space="preserve">autre tiers en français (17 %), en allemand (13 %) et en italien (2 %). Les </w:t>
      </w:r>
      <w:proofErr w:type="spellStart"/>
      <w:r w:rsidRPr="0006036C">
        <w:rPr>
          <w:lang w:val="fr-CH"/>
        </w:rPr>
        <w:t>candidat·e·s</w:t>
      </w:r>
      <w:proofErr w:type="spellEnd"/>
      <w:r w:rsidRPr="0006036C">
        <w:rPr>
          <w:lang w:val="fr-CH"/>
        </w:rPr>
        <w:t xml:space="preserve"> représentent environ 19 hautes écoles suisses et plus de 20 disciplines</w:t>
      </w:r>
      <w:r w:rsidR="0006036C">
        <w:rPr>
          <w:lang w:val="fr-CH"/>
        </w:rPr>
        <w:t xml:space="preserve">. </w:t>
      </w:r>
      <w:r w:rsidRPr="0006036C">
        <w:rPr>
          <w:lang w:val="fr-CH"/>
        </w:rPr>
        <w:t xml:space="preserve">Le jury, composé de dix membres, a sélectionné les </w:t>
      </w:r>
      <w:proofErr w:type="spellStart"/>
      <w:r w:rsidRPr="0006036C">
        <w:rPr>
          <w:lang w:val="fr-CH"/>
        </w:rPr>
        <w:t>lauréat·e·s</w:t>
      </w:r>
      <w:proofErr w:type="spellEnd"/>
      <w:r w:rsidRPr="0006036C">
        <w:rPr>
          <w:lang w:val="fr-CH"/>
        </w:rPr>
        <w:t xml:space="preserve"> au terme d</w:t>
      </w:r>
      <w:r w:rsidR="00710C7A" w:rsidRPr="0006036C">
        <w:rPr>
          <w:lang w:val="fr-CH"/>
        </w:rPr>
        <w:t>’</w:t>
      </w:r>
      <w:r w:rsidRPr="0006036C">
        <w:rPr>
          <w:lang w:val="fr-CH"/>
        </w:rPr>
        <w:t>une procédure d</w:t>
      </w:r>
      <w:r w:rsidR="00710C7A" w:rsidRPr="0006036C">
        <w:rPr>
          <w:lang w:val="fr-CH"/>
        </w:rPr>
        <w:t>’</w:t>
      </w:r>
      <w:r w:rsidRPr="0006036C">
        <w:rPr>
          <w:lang w:val="fr-CH"/>
        </w:rPr>
        <w:t>évaluation en trois étapes.</w:t>
      </w:r>
    </w:p>
    <w:p w14:paraId="465C2A73" w14:textId="77777777" w:rsidR="009D38C3" w:rsidRPr="0006036C" w:rsidRDefault="009D38C3" w:rsidP="007D60A7">
      <w:pPr>
        <w:pStyle w:val="Textkrper"/>
        <w:spacing w:before="9" w:line="276" w:lineRule="auto"/>
        <w:rPr>
          <w:sz w:val="26"/>
          <w:lang w:val="fr-CH"/>
        </w:rPr>
      </w:pPr>
    </w:p>
    <w:p w14:paraId="61DB4FD8" w14:textId="2F771F10" w:rsidR="0089414E" w:rsidRPr="007A43E8" w:rsidRDefault="007A43E8" w:rsidP="0089414E">
      <w:pPr>
        <w:pStyle w:val="Textkrper"/>
        <w:spacing w:line="276" w:lineRule="auto"/>
        <w:rPr>
          <w:lang w:val="fr-CH"/>
        </w:rPr>
      </w:pPr>
      <w:r w:rsidRPr="0006036C">
        <w:rPr>
          <w:lang w:val="fr-CH"/>
        </w:rPr>
        <w:t>Créé en 1996, le Prix de la Relève est décerné chaque année, sous la forme de trois sous-prix depuis 2019. Il s</w:t>
      </w:r>
      <w:r w:rsidR="00710C7A" w:rsidRPr="0006036C">
        <w:rPr>
          <w:lang w:val="fr-CH"/>
        </w:rPr>
        <w:t>’</w:t>
      </w:r>
      <w:r w:rsidRPr="0006036C">
        <w:rPr>
          <w:lang w:val="fr-CH"/>
        </w:rPr>
        <w:t>adresse aux chercheuses et chercheurs âgés au plus de 38 ans et est doté d</w:t>
      </w:r>
      <w:r w:rsidR="00710C7A" w:rsidRPr="0006036C">
        <w:rPr>
          <w:lang w:val="fr-CH"/>
        </w:rPr>
        <w:t>’</w:t>
      </w:r>
      <w:r w:rsidRPr="0006036C">
        <w:rPr>
          <w:lang w:val="fr-CH"/>
        </w:rPr>
        <w:t>un montant total de 18 000 francs. La remise du prix aura lieu le 21 mai dans le cadre de l</w:t>
      </w:r>
      <w:r w:rsidR="00710C7A" w:rsidRPr="0006036C">
        <w:rPr>
          <w:lang w:val="fr-CH"/>
        </w:rPr>
        <w:t>’</w:t>
      </w:r>
      <w:r w:rsidRPr="0006036C">
        <w:rPr>
          <w:lang w:val="fr-CH"/>
        </w:rPr>
        <w:t>Assemblée annuelle de l</w:t>
      </w:r>
      <w:r w:rsidR="00710C7A" w:rsidRPr="0006036C">
        <w:rPr>
          <w:lang w:val="fr-CH"/>
        </w:rPr>
        <w:t>’</w:t>
      </w:r>
      <w:r w:rsidRPr="0006036C">
        <w:rPr>
          <w:lang w:val="fr-CH"/>
        </w:rPr>
        <w:t>ASSH à Coire.</w:t>
      </w:r>
    </w:p>
    <w:p w14:paraId="282F4C81" w14:textId="77777777" w:rsidR="0089414E" w:rsidRPr="007A43E8" w:rsidRDefault="0089414E" w:rsidP="0089414E">
      <w:pPr>
        <w:pStyle w:val="Textkrper"/>
        <w:spacing w:line="276" w:lineRule="auto"/>
        <w:rPr>
          <w:lang w:val="fr-CH"/>
        </w:rPr>
      </w:pPr>
    </w:p>
    <w:p w14:paraId="101E4CA4" w14:textId="47AD7608" w:rsidR="009D38C3" w:rsidRPr="007F446D" w:rsidRDefault="00027020" w:rsidP="0089414E">
      <w:pPr>
        <w:pStyle w:val="Textkrper"/>
        <w:spacing w:line="276" w:lineRule="auto"/>
        <w:rPr>
          <w:b/>
          <w:bCs/>
          <w:i/>
          <w:iCs/>
          <w:lang w:val="fr-CH"/>
        </w:rPr>
      </w:pPr>
      <w:r w:rsidRPr="007F446D">
        <w:rPr>
          <w:b/>
          <w:bCs/>
          <w:i/>
          <w:iCs/>
          <w:lang w:val="fr-CH"/>
        </w:rPr>
        <w:t xml:space="preserve">Pour </w:t>
      </w:r>
      <w:r w:rsidR="007F446D">
        <w:rPr>
          <w:b/>
          <w:bCs/>
          <w:i/>
          <w:iCs/>
          <w:lang w:val="fr-CH"/>
        </w:rPr>
        <w:t>les</w:t>
      </w:r>
      <w:r w:rsidRPr="007F446D">
        <w:rPr>
          <w:b/>
          <w:bCs/>
          <w:i/>
          <w:iCs/>
          <w:lang w:val="fr-CH"/>
        </w:rPr>
        <w:t xml:space="preserve"> photos et </w:t>
      </w:r>
      <w:proofErr w:type="spellStart"/>
      <w:r w:rsidR="007A43E8" w:rsidRPr="007F446D">
        <w:rPr>
          <w:b/>
          <w:bCs/>
          <w:i/>
          <w:iCs/>
          <w:lang w:val="fr-CH"/>
        </w:rPr>
        <w:t>CV</w:t>
      </w:r>
      <w:r w:rsidRPr="007F446D">
        <w:rPr>
          <w:b/>
          <w:bCs/>
          <w:i/>
          <w:iCs/>
          <w:lang w:val="fr-CH"/>
        </w:rPr>
        <w:t>s</w:t>
      </w:r>
      <w:proofErr w:type="spellEnd"/>
      <w:r w:rsidRPr="007F446D">
        <w:rPr>
          <w:b/>
          <w:bCs/>
          <w:i/>
          <w:iCs/>
          <w:lang w:val="fr-CH"/>
        </w:rPr>
        <w:t xml:space="preserve"> des </w:t>
      </w:r>
      <w:proofErr w:type="spellStart"/>
      <w:r w:rsidRPr="007F446D">
        <w:rPr>
          <w:b/>
          <w:bCs/>
          <w:i/>
          <w:iCs/>
          <w:lang w:val="fr-CH"/>
        </w:rPr>
        <w:t>lauréat·e·s</w:t>
      </w:r>
      <w:proofErr w:type="spellEnd"/>
      <w:r w:rsidRPr="007F446D">
        <w:rPr>
          <w:b/>
          <w:bCs/>
          <w:i/>
          <w:iCs/>
          <w:lang w:val="fr-CH"/>
        </w:rPr>
        <w:t xml:space="preserve">, veuillez consulter la page </w:t>
      </w:r>
      <w:proofErr w:type="spellStart"/>
      <w:r w:rsidRPr="007F446D">
        <w:rPr>
          <w:b/>
          <w:bCs/>
          <w:i/>
          <w:iCs/>
          <w:lang w:val="fr-CH"/>
        </w:rPr>
        <w:t>suviante</w:t>
      </w:r>
      <w:proofErr w:type="spellEnd"/>
      <w:r w:rsidRPr="007F446D">
        <w:rPr>
          <w:b/>
          <w:bCs/>
          <w:i/>
          <w:iCs/>
          <w:lang w:val="fr-CH"/>
        </w:rPr>
        <w:t xml:space="preserve"> : </w:t>
      </w:r>
      <w:hyperlink r:id="rId5" w:history="1">
        <w:r w:rsidRPr="007F446D">
          <w:rPr>
            <w:rStyle w:val="Hyperlink"/>
            <w:b/>
            <w:bCs/>
            <w:i/>
            <w:iCs/>
            <w:lang w:val="fr-CH"/>
          </w:rPr>
          <w:t>www.assh.ch/prix-releve-22</w:t>
        </w:r>
      </w:hyperlink>
    </w:p>
    <w:p w14:paraId="756ED69D" w14:textId="1026C813" w:rsidR="009D38C3" w:rsidRDefault="009D38C3" w:rsidP="007D60A7">
      <w:pPr>
        <w:pStyle w:val="Textkrper"/>
        <w:spacing w:before="3" w:line="276" w:lineRule="auto"/>
        <w:rPr>
          <w:sz w:val="20"/>
          <w:lang w:val="fr-CH"/>
        </w:rPr>
      </w:pPr>
    </w:p>
    <w:p w14:paraId="4836ACCE" w14:textId="5DDDD11D" w:rsidR="00EA50FF" w:rsidRPr="00027020" w:rsidRDefault="00EA50FF" w:rsidP="00027020">
      <w:pPr>
        <w:pStyle w:val="berschrift1"/>
        <w:shd w:val="clear" w:color="auto" w:fill="DBE5F1" w:themeFill="accent1" w:themeFillTint="33"/>
        <w:ind w:left="0"/>
        <w:rPr>
          <w:lang w:val="fr-CH"/>
        </w:rPr>
      </w:pPr>
      <w:r w:rsidRPr="00027020">
        <w:rPr>
          <w:lang w:val="fr-CH"/>
        </w:rPr>
        <w:t>Indications bibliographiques</w:t>
      </w:r>
    </w:p>
    <w:p w14:paraId="749032B9" w14:textId="77777777" w:rsidR="00EA50FF" w:rsidRPr="00027020" w:rsidRDefault="00EA50FF" w:rsidP="00027020">
      <w:pPr>
        <w:pStyle w:val="berschrift1"/>
        <w:shd w:val="clear" w:color="auto" w:fill="DBE5F1" w:themeFill="accent1" w:themeFillTint="33"/>
        <w:ind w:left="0"/>
        <w:rPr>
          <w:lang w:val="fr-CH"/>
        </w:rPr>
      </w:pPr>
    </w:p>
    <w:p w14:paraId="7D5C7402" w14:textId="70D42A28" w:rsidR="007F58B0" w:rsidRPr="00027020" w:rsidRDefault="007F58B0" w:rsidP="00027020">
      <w:pPr>
        <w:pStyle w:val="berschrift1"/>
        <w:shd w:val="clear" w:color="auto" w:fill="DBE5F1" w:themeFill="accent1" w:themeFillTint="33"/>
        <w:ind w:left="0"/>
        <w:rPr>
          <w:lang w:val="fr-CH"/>
        </w:rPr>
      </w:pPr>
      <w:r w:rsidRPr="00027020">
        <w:rPr>
          <w:lang w:val="fr-CH"/>
        </w:rPr>
        <w:t>Or</w:t>
      </w:r>
    </w:p>
    <w:p w14:paraId="5EDB611E" w14:textId="26D6E680" w:rsidR="007F58B0" w:rsidRPr="00C51D2C" w:rsidRDefault="00027020" w:rsidP="00027020">
      <w:pPr>
        <w:pStyle w:val="berschrift1"/>
        <w:shd w:val="clear" w:color="auto" w:fill="DBE5F1" w:themeFill="accent1" w:themeFillTint="33"/>
        <w:ind w:left="0"/>
        <w:rPr>
          <w:b w:val="0"/>
          <w:bCs w:val="0"/>
        </w:rPr>
      </w:pPr>
      <w:proofErr w:type="spellStart"/>
      <w:r w:rsidRPr="00027020">
        <w:rPr>
          <w:b w:val="0"/>
          <w:bCs w:val="0"/>
        </w:rPr>
        <w:t>Foos</w:t>
      </w:r>
      <w:proofErr w:type="spellEnd"/>
      <w:r w:rsidRPr="00027020">
        <w:rPr>
          <w:b w:val="0"/>
          <w:bCs w:val="0"/>
        </w:rPr>
        <w:t xml:space="preserve">, </w:t>
      </w:r>
      <w:r w:rsidR="007F58B0" w:rsidRPr="00027020">
        <w:rPr>
          <w:b w:val="0"/>
          <w:bCs w:val="0"/>
        </w:rPr>
        <w:t xml:space="preserve">Florian </w:t>
      </w:r>
      <w:r w:rsidRPr="00027020">
        <w:rPr>
          <w:b w:val="0"/>
          <w:bCs w:val="0"/>
        </w:rPr>
        <w:t xml:space="preserve">et </w:t>
      </w:r>
      <w:r w:rsidRPr="00027020">
        <w:rPr>
          <w:b w:val="0"/>
          <w:bCs w:val="0"/>
        </w:rPr>
        <w:t xml:space="preserve">Daniel </w:t>
      </w:r>
      <w:r w:rsidRPr="002A197D">
        <w:rPr>
          <w:b w:val="0"/>
          <w:bCs w:val="0"/>
        </w:rPr>
        <w:t>Bischof</w:t>
      </w:r>
      <w:r>
        <w:rPr>
          <w:b w:val="0"/>
          <w:bCs w:val="0"/>
        </w:rPr>
        <w:t xml:space="preserve"> </w:t>
      </w:r>
      <w:r w:rsidR="007F58B0" w:rsidRPr="00027020">
        <w:rPr>
          <w:b w:val="0"/>
          <w:bCs w:val="0"/>
        </w:rPr>
        <w:t>(2021</w:t>
      </w:r>
      <w:proofErr w:type="gramStart"/>
      <w:r w:rsidR="007F58B0" w:rsidRPr="00027020">
        <w:rPr>
          <w:b w:val="0"/>
          <w:bCs w:val="0"/>
        </w:rPr>
        <w:t>)</w:t>
      </w:r>
      <w:r w:rsidR="007F446D">
        <w:rPr>
          <w:b w:val="0"/>
          <w:bCs w:val="0"/>
        </w:rPr>
        <w:t> </w:t>
      </w:r>
      <w:r w:rsidR="007F58B0" w:rsidRPr="00027020">
        <w:rPr>
          <w:b w:val="0"/>
          <w:bCs w:val="0"/>
        </w:rPr>
        <w:t>:</w:t>
      </w:r>
      <w:proofErr w:type="gramEnd"/>
      <w:r w:rsidR="007F58B0" w:rsidRPr="00027020">
        <w:rPr>
          <w:b w:val="0"/>
          <w:bCs w:val="0"/>
        </w:rPr>
        <w:t xml:space="preserve"> Tabloid Media Campaigns and Public Opinion</w:t>
      </w:r>
      <w:r w:rsidR="00035F3D" w:rsidRPr="00027020">
        <w:rPr>
          <w:b w:val="0"/>
          <w:bCs w:val="0"/>
        </w:rPr>
        <w:t xml:space="preserve"> </w:t>
      </w:r>
      <w:r w:rsidR="007F58B0" w:rsidRPr="00027020">
        <w:rPr>
          <w:b w:val="0"/>
          <w:bCs w:val="0"/>
        </w:rPr>
        <w:t xml:space="preserve">: Quasi-Experimental Evidence on Euroscepticism in England, </w:t>
      </w:r>
      <w:r w:rsidR="00035F3D" w:rsidRPr="00027020">
        <w:rPr>
          <w:b w:val="0"/>
          <w:bCs w:val="0"/>
        </w:rPr>
        <w:t>dans </w:t>
      </w:r>
      <w:r w:rsidR="007F58B0" w:rsidRPr="00027020">
        <w:rPr>
          <w:b w:val="0"/>
          <w:bCs w:val="0"/>
        </w:rPr>
        <w:t xml:space="preserve">: American Political Science Review 116,1, </w:t>
      </w:r>
      <w:r w:rsidR="00035F3D" w:rsidRPr="00027020">
        <w:rPr>
          <w:b w:val="0"/>
          <w:bCs w:val="0"/>
        </w:rPr>
        <w:t>pp</w:t>
      </w:r>
      <w:r w:rsidR="007F58B0" w:rsidRPr="00027020">
        <w:rPr>
          <w:b w:val="0"/>
          <w:bCs w:val="0"/>
        </w:rPr>
        <w:t>. 19</w:t>
      </w:r>
      <w:r w:rsidR="00035F3D" w:rsidRPr="00027020">
        <w:rPr>
          <w:b w:val="0"/>
          <w:bCs w:val="0"/>
        </w:rPr>
        <w:t>-</w:t>
      </w:r>
      <w:r w:rsidR="007F58B0" w:rsidRPr="00027020">
        <w:rPr>
          <w:b w:val="0"/>
          <w:bCs w:val="0"/>
        </w:rPr>
        <w:t xml:space="preserve">37. </w:t>
      </w:r>
      <w:hyperlink r:id="rId6" w:history="1">
        <w:r w:rsidR="007F58B0" w:rsidRPr="00C51D2C">
          <w:rPr>
            <w:rStyle w:val="Hyperlink"/>
            <w:b w:val="0"/>
            <w:bCs w:val="0"/>
          </w:rPr>
          <w:t>https://doi.org/10.1017/S000305542100085X</w:t>
        </w:r>
      </w:hyperlink>
    </w:p>
    <w:p w14:paraId="2129A76C" w14:textId="77777777" w:rsidR="007F58B0" w:rsidRPr="00C51D2C" w:rsidRDefault="007F58B0" w:rsidP="00027020">
      <w:pPr>
        <w:pStyle w:val="berschrift1"/>
        <w:shd w:val="clear" w:color="auto" w:fill="DBE5F1" w:themeFill="accent1" w:themeFillTint="33"/>
        <w:ind w:left="0"/>
        <w:rPr>
          <w:b w:val="0"/>
          <w:bCs w:val="0"/>
        </w:rPr>
      </w:pPr>
    </w:p>
    <w:p w14:paraId="5608A6CF" w14:textId="2B44CFFD" w:rsidR="007F58B0" w:rsidRPr="00C51D2C" w:rsidRDefault="007F58B0" w:rsidP="00027020">
      <w:pPr>
        <w:pStyle w:val="berschrift1"/>
        <w:shd w:val="clear" w:color="auto" w:fill="DBE5F1" w:themeFill="accent1" w:themeFillTint="33"/>
        <w:ind w:left="0"/>
      </w:pPr>
      <w:r>
        <w:t>Argent</w:t>
      </w:r>
    </w:p>
    <w:p w14:paraId="4A19C025" w14:textId="37517F84" w:rsidR="007F58B0" w:rsidRPr="00C51D2C" w:rsidRDefault="007F58B0" w:rsidP="00027020">
      <w:pPr>
        <w:pStyle w:val="berschrift1"/>
        <w:shd w:val="clear" w:color="auto" w:fill="DBE5F1" w:themeFill="accent1" w:themeFillTint="33"/>
        <w:ind w:left="0"/>
        <w:rPr>
          <w:b w:val="0"/>
          <w:bCs w:val="0"/>
        </w:rPr>
      </w:pPr>
      <w:r w:rsidRPr="00C51D2C">
        <w:rPr>
          <w:b w:val="0"/>
          <w:bCs w:val="0"/>
        </w:rPr>
        <w:t xml:space="preserve">Frey, Felix </w:t>
      </w:r>
      <w:r>
        <w:rPr>
          <w:b w:val="0"/>
          <w:bCs w:val="0"/>
        </w:rPr>
        <w:t>et</w:t>
      </w:r>
      <w:r w:rsidRPr="00C51D2C">
        <w:rPr>
          <w:b w:val="0"/>
          <w:bCs w:val="0"/>
        </w:rPr>
        <w:t xml:space="preserve"> Ann</w:t>
      </w:r>
      <w:r w:rsidR="00B42C12">
        <w:rPr>
          <w:b w:val="0"/>
          <w:bCs w:val="0"/>
        </w:rPr>
        <w:t>e</w:t>
      </w:r>
      <w:r w:rsidRPr="00C51D2C">
        <w:rPr>
          <w:b w:val="0"/>
          <w:bCs w:val="0"/>
        </w:rPr>
        <w:t xml:space="preserve"> </w:t>
      </w:r>
      <w:r w:rsidR="00C20336">
        <w:rPr>
          <w:b w:val="0"/>
          <w:bCs w:val="0"/>
        </w:rPr>
        <w:t xml:space="preserve">E. </w:t>
      </w:r>
      <w:proofErr w:type="spellStart"/>
      <w:r w:rsidRPr="00C51D2C">
        <w:rPr>
          <w:b w:val="0"/>
          <w:bCs w:val="0"/>
        </w:rPr>
        <w:t>Hasselmann</w:t>
      </w:r>
      <w:proofErr w:type="spellEnd"/>
      <w:r w:rsidRPr="00C51D2C">
        <w:rPr>
          <w:b w:val="0"/>
          <w:bCs w:val="0"/>
        </w:rPr>
        <w:t xml:space="preserve"> (2021</w:t>
      </w:r>
      <w:proofErr w:type="gramStart"/>
      <w:r w:rsidRPr="00C51D2C">
        <w:rPr>
          <w:b w:val="0"/>
          <w:bCs w:val="0"/>
        </w:rPr>
        <w:t>)</w:t>
      </w:r>
      <w:r w:rsidR="007F446D">
        <w:rPr>
          <w:b w:val="0"/>
          <w:bCs w:val="0"/>
        </w:rPr>
        <w:t> </w:t>
      </w:r>
      <w:r w:rsidRPr="00C51D2C">
        <w:rPr>
          <w:b w:val="0"/>
          <w:bCs w:val="0"/>
        </w:rPr>
        <w:t>:</w:t>
      </w:r>
      <w:proofErr w:type="gramEnd"/>
      <w:r w:rsidRPr="00C51D2C">
        <w:rPr>
          <w:b w:val="0"/>
          <w:bCs w:val="0"/>
        </w:rPr>
        <w:t xml:space="preserve"> Stones at War, The Chelyabinsk War Exhibition of 1946 and Soviet Environmental Thought, </w:t>
      </w:r>
      <w:r w:rsidR="00035F3D">
        <w:rPr>
          <w:b w:val="0"/>
          <w:bCs w:val="0"/>
        </w:rPr>
        <w:t xml:space="preserve">dans </w:t>
      </w:r>
      <w:r w:rsidRPr="00C51D2C">
        <w:rPr>
          <w:b w:val="0"/>
          <w:bCs w:val="0"/>
        </w:rPr>
        <w:t>: Environmental History 26</w:t>
      </w:r>
      <w:r>
        <w:rPr>
          <w:b w:val="0"/>
          <w:bCs w:val="0"/>
        </w:rPr>
        <w:t>,</w:t>
      </w:r>
      <w:r w:rsidRPr="00C51D2C">
        <w:rPr>
          <w:b w:val="0"/>
          <w:bCs w:val="0"/>
        </w:rPr>
        <w:t xml:space="preserve">3, </w:t>
      </w:r>
      <w:r w:rsidR="00035F3D">
        <w:rPr>
          <w:b w:val="0"/>
          <w:bCs w:val="0"/>
        </w:rPr>
        <w:t>pp</w:t>
      </w:r>
      <w:r w:rsidRPr="00C51D2C">
        <w:rPr>
          <w:b w:val="0"/>
          <w:bCs w:val="0"/>
        </w:rPr>
        <w:t>. 533</w:t>
      </w:r>
      <w:r w:rsidR="00035F3D">
        <w:rPr>
          <w:b w:val="0"/>
          <w:bCs w:val="0"/>
        </w:rPr>
        <w:t>-</w:t>
      </w:r>
      <w:r w:rsidRPr="00C51D2C">
        <w:rPr>
          <w:b w:val="0"/>
          <w:bCs w:val="0"/>
        </w:rPr>
        <w:t xml:space="preserve">554. </w:t>
      </w:r>
      <w:hyperlink r:id="rId7" w:history="1">
        <w:r w:rsidRPr="00C51D2C">
          <w:rPr>
            <w:rStyle w:val="Hyperlink"/>
            <w:b w:val="0"/>
            <w:bCs w:val="0"/>
          </w:rPr>
          <w:t>https://doi.org/10.1093/envhis/emab021</w:t>
        </w:r>
      </w:hyperlink>
    </w:p>
    <w:p w14:paraId="58ED2415" w14:textId="77777777" w:rsidR="007F58B0" w:rsidRPr="00C51D2C" w:rsidRDefault="007F58B0" w:rsidP="00027020">
      <w:pPr>
        <w:pStyle w:val="berschrift1"/>
        <w:shd w:val="clear" w:color="auto" w:fill="DBE5F1" w:themeFill="accent1" w:themeFillTint="33"/>
        <w:ind w:left="0"/>
      </w:pPr>
    </w:p>
    <w:p w14:paraId="1C8E0EE6" w14:textId="77777777" w:rsidR="007F58B0" w:rsidRPr="007F58B0" w:rsidRDefault="007F58B0" w:rsidP="00027020">
      <w:pPr>
        <w:pStyle w:val="berschrift1"/>
        <w:shd w:val="clear" w:color="auto" w:fill="DBE5F1" w:themeFill="accent1" w:themeFillTint="33"/>
        <w:ind w:left="0"/>
      </w:pPr>
      <w:r w:rsidRPr="007F58B0">
        <w:t>Bronze</w:t>
      </w:r>
    </w:p>
    <w:p w14:paraId="10DE5C28" w14:textId="76C9AD54" w:rsidR="007F58B0" w:rsidRPr="00E3206E" w:rsidRDefault="007F58B0" w:rsidP="00027020">
      <w:pPr>
        <w:pStyle w:val="berschrift1"/>
        <w:shd w:val="clear" w:color="auto" w:fill="DBE5F1" w:themeFill="accent1" w:themeFillTint="33"/>
        <w:ind w:left="0"/>
        <w:rPr>
          <w:b w:val="0"/>
          <w:bCs w:val="0"/>
          <w:lang w:val="fr-CH"/>
        </w:rPr>
      </w:pPr>
      <w:r w:rsidRPr="00C51D2C">
        <w:rPr>
          <w:b w:val="0"/>
          <w:bCs w:val="0"/>
        </w:rPr>
        <w:t>Cavadini, Thalia</w:t>
      </w:r>
      <w:r>
        <w:rPr>
          <w:b w:val="0"/>
          <w:bCs w:val="0"/>
        </w:rPr>
        <w:t xml:space="preserve"> et al</w:t>
      </w:r>
      <w:r w:rsidRPr="00C51D2C">
        <w:rPr>
          <w:b w:val="0"/>
          <w:bCs w:val="0"/>
        </w:rPr>
        <w:t xml:space="preserve"> (2021</w:t>
      </w:r>
      <w:proofErr w:type="gramStart"/>
      <w:r w:rsidRPr="00C51D2C">
        <w:rPr>
          <w:b w:val="0"/>
          <w:bCs w:val="0"/>
        </w:rPr>
        <w:t>)</w:t>
      </w:r>
      <w:r w:rsidR="00035F3D">
        <w:rPr>
          <w:b w:val="0"/>
          <w:bCs w:val="0"/>
        </w:rPr>
        <w:t xml:space="preserve"> </w:t>
      </w:r>
      <w:r w:rsidRPr="00C51D2C">
        <w:rPr>
          <w:b w:val="0"/>
          <w:bCs w:val="0"/>
        </w:rPr>
        <w:t>:</w:t>
      </w:r>
      <w:proofErr w:type="gramEnd"/>
      <w:r w:rsidRPr="00C51D2C">
        <w:rPr>
          <w:b w:val="0"/>
          <w:bCs w:val="0"/>
        </w:rPr>
        <w:t xml:space="preserve"> Emotion knowledge, social </w:t>
      </w:r>
      <w:proofErr w:type="spellStart"/>
      <w:r w:rsidRPr="00C51D2C">
        <w:rPr>
          <w:b w:val="0"/>
          <w:bCs w:val="0"/>
        </w:rPr>
        <w:t>behaviour</w:t>
      </w:r>
      <w:proofErr w:type="spellEnd"/>
      <w:r w:rsidRPr="00C51D2C">
        <w:rPr>
          <w:b w:val="0"/>
          <w:bCs w:val="0"/>
        </w:rPr>
        <w:t xml:space="preserve"> and locomotor activity predict the mathematic performance in 706 preschool children, </w:t>
      </w:r>
      <w:r w:rsidR="00035F3D">
        <w:rPr>
          <w:b w:val="0"/>
          <w:bCs w:val="0"/>
        </w:rPr>
        <w:t>dans </w:t>
      </w:r>
      <w:r w:rsidRPr="00C51D2C">
        <w:rPr>
          <w:b w:val="0"/>
          <w:bCs w:val="0"/>
        </w:rPr>
        <w:t>: Scientific Reports</w:t>
      </w:r>
      <w:r w:rsidR="005637D9">
        <w:rPr>
          <w:b w:val="0"/>
          <w:bCs w:val="0"/>
        </w:rPr>
        <w:t xml:space="preserve"> (Nature Publishing Group)</w:t>
      </w:r>
      <w:r w:rsidRPr="00C51D2C">
        <w:rPr>
          <w:b w:val="0"/>
          <w:bCs w:val="0"/>
        </w:rPr>
        <w:t>, 1</w:t>
      </w:r>
      <w:r>
        <w:rPr>
          <w:b w:val="0"/>
          <w:bCs w:val="0"/>
        </w:rPr>
        <w:t>1,</w:t>
      </w:r>
      <w:r w:rsidRPr="00C51D2C">
        <w:rPr>
          <w:b w:val="0"/>
          <w:bCs w:val="0"/>
        </w:rPr>
        <w:t xml:space="preserve">14399. </w:t>
      </w:r>
      <w:hyperlink r:id="rId8" w:history="1">
        <w:r w:rsidRPr="00E3206E">
          <w:rPr>
            <w:rStyle w:val="Hyperlink"/>
            <w:b w:val="0"/>
            <w:bCs w:val="0"/>
            <w:lang w:val="fr-CH"/>
          </w:rPr>
          <w:t>https://doi.org/10.1038/s41598-021-93706-7</w:t>
        </w:r>
      </w:hyperlink>
      <w:r w:rsidRPr="00E3206E">
        <w:rPr>
          <w:b w:val="0"/>
          <w:bCs w:val="0"/>
          <w:lang w:val="fr-CH"/>
        </w:rPr>
        <w:t xml:space="preserve">  </w:t>
      </w:r>
    </w:p>
    <w:p w14:paraId="3AD63EDE" w14:textId="77777777" w:rsidR="00EA50FF" w:rsidRPr="00E3206E" w:rsidRDefault="00EA50FF" w:rsidP="007D60A7">
      <w:pPr>
        <w:pStyle w:val="Textkrper"/>
        <w:spacing w:before="3" w:line="276" w:lineRule="auto"/>
        <w:rPr>
          <w:sz w:val="20"/>
          <w:lang w:val="fr-CH"/>
        </w:rPr>
      </w:pPr>
    </w:p>
    <w:p w14:paraId="382C373A" w14:textId="5AA6BFC4" w:rsidR="009D38C3" w:rsidRPr="00225FB9" w:rsidRDefault="007A43E8" w:rsidP="007D60A7">
      <w:pPr>
        <w:pStyle w:val="berschrift1"/>
        <w:spacing w:before="59" w:line="276" w:lineRule="auto"/>
        <w:ind w:left="0"/>
        <w:rPr>
          <w:lang w:val="fr-CH"/>
        </w:rPr>
      </w:pPr>
      <w:r w:rsidRPr="00225FB9">
        <w:rPr>
          <w:spacing w:val="-2"/>
          <w:lang w:val="fr-CH"/>
        </w:rPr>
        <w:t>Contact pour les médias</w:t>
      </w:r>
    </w:p>
    <w:p w14:paraId="694ACA10" w14:textId="2E719D36" w:rsidR="0089414E" w:rsidRPr="00027020" w:rsidRDefault="00027020" w:rsidP="007D60A7">
      <w:pPr>
        <w:pStyle w:val="Textkrper"/>
        <w:spacing w:before="47" w:line="276" w:lineRule="auto"/>
        <w:ind w:right="7851"/>
        <w:rPr>
          <w:lang w:val="de-CH"/>
        </w:rPr>
      </w:pPr>
      <w:r w:rsidRPr="00027020">
        <w:rPr>
          <w:lang w:val="de-CH"/>
        </w:rPr>
        <w:t>Heinz Nauer</w:t>
      </w:r>
    </w:p>
    <w:p w14:paraId="57A8F18A" w14:textId="4DCB4A20" w:rsidR="00027020" w:rsidRPr="00027020" w:rsidRDefault="00027020" w:rsidP="00027020">
      <w:pPr>
        <w:pStyle w:val="Textkrper"/>
        <w:spacing w:before="47" w:line="276" w:lineRule="auto"/>
        <w:ind w:right="2"/>
        <w:rPr>
          <w:lang w:val="fr-CH"/>
        </w:rPr>
      </w:pPr>
      <w:r w:rsidRPr="00027020">
        <w:rPr>
          <w:lang w:val="fr-CH"/>
        </w:rPr>
        <w:t xml:space="preserve">Co-responsable communication scientifique </w:t>
      </w:r>
      <w:r>
        <w:rPr>
          <w:lang w:val="fr-CH"/>
        </w:rPr>
        <w:t>de</w:t>
      </w:r>
      <w:r w:rsidRPr="00027020">
        <w:rPr>
          <w:lang w:val="fr-CH"/>
        </w:rPr>
        <w:t xml:space="preserve"> l’ASSH</w:t>
      </w:r>
    </w:p>
    <w:p w14:paraId="134F7F05" w14:textId="72C8696C" w:rsidR="009D38C3" w:rsidRPr="00027020" w:rsidRDefault="001C1A7E" w:rsidP="007D60A7">
      <w:pPr>
        <w:pStyle w:val="Textkrper"/>
        <w:spacing w:before="47" w:line="276" w:lineRule="auto"/>
        <w:ind w:right="7851"/>
        <w:rPr>
          <w:lang w:val="fr-CH"/>
        </w:rPr>
      </w:pPr>
      <w:r w:rsidRPr="00027020">
        <w:rPr>
          <w:lang w:val="fr-CH"/>
        </w:rPr>
        <w:t>031</w:t>
      </w:r>
      <w:r w:rsidRPr="00027020">
        <w:rPr>
          <w:spacing w:val="-13"/>
          <w:lang w:val="fr-CH"/>
        </w:rPr>
        <w:t xml:space="preserve"> </w:t>
      </w:r>
      <w:r w:rsidRPr="00027020">
        <w:rPr>
          <w:lang w:val="fr-CH"/>
        </w:rPr>
        <w:t>306</w:t>
      </w:r>
      <w:r w:rsidRPr="00027020">
        <w:rPr>
          <w:spacing w:val="-13"/>
          <w:lang w:val="fr-CH"/>
        </w:rPr>
        <w:t xml:space="preserve"> </w:t>
      </w:r>
      <w:r w:rsidRPr="00027020">
        <w:rPr>
          <w:lang w:val="fr-CH"/>
        </w:rPr>
        <w:t>92</w:t>
      </w:r>
      <w:r w:rsidRPr="00027020">
        <w:rPr>
          <w:spacing w:val="-13"/>
          <w:lang w:val="fr-CH"/>
        </w:rPr>
        <w:t xml:space="preserve"> </w:t>
      </w:r>
      <w:r w:rsidR="0089414E" w:rsidRPr="00027020">
        <w:rPr>
          <w:spacing w:val="-13"/>
          <w:lang w:val="fr-CH"/>
        </w:rPr>
        <w:t>50/</w:t>
      </w:r>
      <w:r w:rsidRPr="00027020">
        <w:rPr>
          <w:lang w:val="fr-CH"/>
        </w:rPr>
        <w:t>5</w:t>
      </w:r>
      <w:r w:rsidR="00027020">
        <w:rPr>
          <w:lang w:val="fr-CH"/>
        </w:rPr>
        <w:t>5</w:t>
      </w:r>
    </w:p>
    <w:p w14:paraId="2E4ED374" w14:textId="79C53CEF" w:rsidR="009C5F6D" w:rsidRPr="009C5F6D" w:rsidRDefault="00027020" w:rsidP="007D60A7">
      <w:pPr>
        <w:pStyle w:val="Textkrper"/>
        <w:spacing w:line="276" w:lineRule="auto"/>
        <w:rPr>
          <w:lang w:val="de-CH"/>
        </w:rPr>
      </w:pPr>
      <w:r>
        <w:rPr>
          <w:spacing w:val="-2"/>
          <w:lang w:val="de-CH"/>
        </w:rPr>
        <w:t>heinz.nauer</w:t>
      </w:r>
      <w:r w:rsidR="001C1A7E" w:rsidRPr="00D5153F">
        <w:rPr>
          <w:spacing w:val="-2"/>
          <w:lang w:val="de-CH"/>
        </w:rPr>
        <w:t>@sagw.ch</w:t>
      </w:r>
    </w:p>
    <w:sectPr w:rsidR="009C5F6D" w:rsidRPr="009C5F6D" w:rsidSect="00234EDB">
      <w:pgSz w:w="11900" w:h="16840"/>
      <w:pgMar w:top="1600" w:right="1200" w:bottom="1418"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C3"/>
    <w:rsid w:val="00027020"/>
    <w:rsid w:val="00027048"/>
    <w:rsid w:val="00035F3D"/>
    <w:rsid w:val="0005054D"/>
    <w:rsid w:val="0006036C"/>
    <w:rsid w:val="00080138"/>
    <w:rsid w:val="000B77EE"/>
    <w:rsid w:val="000F0A8E"/>
    <w:rsid w:val="00125369"/>
    <w:rsid w:val="00133E58"/>
    <w:rsid w:val="001B6339"/>
    <w:rsid w:val="001C0763"/>
    <w:rsid w:val="001C1A7E"/>
    <w:rsid w:val="001C1E9C"/>
    <w:rsid w:val="00225FB9"/>
    <w:rsid w:val="00234EDB"/>
    <w:rsid w:val="00283C19"/>
    <w:rsid w:val="0029750E"/>
    <w:rsid w:val="00314E27"/>
    <w:rsid w:val="00335250"/>
    <w:rsid w:val="00357887"/>
    <w:rsid w:val="003A057D"/>
    <w:rsid w:val="003B0C1A"/>
    <w:rsid w:val="003B4E6D"/>
    <w:rsid w:val="003B6613"/>
    <w:rsid w:val="003F3E35"/>
    <w:rsid w:val="0044730D"/>
    <w:rsid w:val="00480B7E"/>
    <w:rsid w:val="00484091"/>
    <w:rsid w:val="00487D3F"/>
    <w:rsid w:val="00491317"/>
    <w:rsid w:val="004959D4"/>
    <w:rsid w:val="004C6F4C"/>
    <w:rsid w:val="004E43D9"/>
    <w:rsid w:val="004E5B9E"/>
    <w:rsid w:val="00513601"/>
    <w:rsid w:val="0054346C"/>
    <w:rsid w:val="00554037"/>
    <w:rsid w:val="00555BBE"/>
    <w:rsid w:val="00557C97"/>
    <w:rsid w:val="005637D9"/>
    <w:rsid w:val="005814A2"/>
    <w:rsid w:val="005D7216"/>
    <w:rsid w:val="005F378A"/>
    <w:rsid w:val="006436A5"/>
    <w:rsid w:val="00661524"/>
    <w:rsid w:val="00667A5B"/>
    <w:rsid w:val="006828ED"/>
    <w:rsid w:val="006B7D50"/>
    <w:rsid w:val="006D076B"/>
    <w:rsid w:val="00710C7A"/>
    <w:rsid w:val="0075287A"/>
    <w:rsid w:val="00765C9F"/>
    <w:rsid w:val="007777C7"/>
    <w:rsid w:val="007914A7"/>
    <w:rsid w:val="007A43E8"/>
    <w:rsid w:val="007D60A7"/>
    <w:rsid w:val="007D76A7"/>
    <w:rsid w:val="007E4FC7"/>
    <w:rsid w:val="007E5114"/>
    <w:rsid w:val="007E54E2"/>
    <w:rsid w:val="007F446D"/>
    <w:rsid w:val="007F58B0"/>
    <w:rsid w:val="00850224"/>
    <w:rsid w:val="00854499"/>
    <w:rsid w:val="0089414E"/>
    <w:rsid w:val="008A38ED"/>
    <w:rsid w:val="008B1DD2"/>
    <w:rsid w:val="008D3B54"/>
    <w:rsid w:val="00986643"/>
    <w:rsid w:val="009C5F6D"/>
    <w:rsid w:val="009D38C3"/>
    <w:rsid w:val="009D42C5"/>
    <w:rsid w:val="00A02F82"/>
    <w:rsid w:val="00A04219"/>
    <w:rsid w:val="00A14C12"/>
    <w:rsid w:val="00A30D57"/>
    <w:rsid w:val="00A715FC"/>
    <w:rsid w:val="00AD1387"/>
    <w:rsid w:val="00B05720"/>
    <w:rsid w:val="00B26A45"/>
    <w:rsid w:val="00B412ED"/>
    <w:rsid w:val="00B42C12"/>
    <w:rsid w:val="00BA0B3E"/>
    <w:rsid w:val="00BD2E7B"/>
    <w:rsid w:val="00BF69D3"/>
    <w:rsid w:val="00C20336"/>
    <w:rsid w:val="00C51844"/>
    <w:rsid w:val="00C57B68"/>
    <w:rsid w:val="00CC334E"/>
    <w:rsid w:val="00CF0BF7"/>
    <w:rsid w:val="00D34839"/>
    <w:rsid w:val="00D47C87"/>
    <w:rsid w:val="00D5153F"/>
    <w:rsid w:val="00D84291"/>
    <w:rsid w:val="00DB5673"/>
    <w:rsid w:val="00E3206E"/>
    <w:rsid w:val="00E42D57"/>
    <w:rsid w:val="00E5773C"/>
    <w:rsid w:val="00E758F6"/>
    <w:rsid w:val="00E81CCF"/>
    <w:rsid w:val="00E840CF"/>
    <w:rsid w:val="00EA2D1A"/>
    <w:rsid w:val="00EA50FF"/>
    <w:rsid w:val="00F30BA5"/>
    <w:rsid w:val="00F45365"/>
    <w:rsid w:val="00F541AB"/>
    <w:rsid w:val="00F97929"/>
    <w:rsid w:val="00FA0EB7"/>
    <w:rsid w:val="00FD39C7"/>
    <w:rsid w:val="00FD5787"/>
    <w:rsid w:val="00FD6A25"/>
    <w:rsid w:val="00FF123E"/>
    <w:rsid w:val="00FF5A0A"/>
    <w:rsid w:val="00FF6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4057"/>
  <w15:docId w15:val="{18FCECCE-4902-534A-BBAD-413F7BAA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rPr>
  </w:style>
  <w:style w:type="paragraph" w:styleId="berschrift1">
    <w:name w:val="heading 1"/>
    <w:basedOn w:val="Standard"/>
    <w:uiPriority w:val="9"/>
    <w:qFormat/>
    <w:pPr>
      <w:ind w:left="21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213" w:right="469"/>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berarbeitung">
    <w:name w:val="Revision"/>
    <w:hidden/>
    <w:uiPriority w:val="99"/>
    <w:semiHidden/>
    <w:rsid w:val="00484091"/>
    <w:pPr>
      <w:widowControl/>
      <w:autoSpaceDE/>
      <w:autoSpaceDN/>
    </w:pPr>
    <w:rPr>
      <w:rFonts w:ascii="Helvetica" w:eastAsia="Helvetica" w:hAnsi="Helvetica" w:cs="Helvetica"/>
    </w:rPr>
  </w:style>
  <w:style w:type="character" w:styleId="Kommentarzeichen">
    <w:name w:val="annotation reference"/>
    <w:basedOn w:val="Absatz-Standardschriftart"/>
    <w:uiPriority w:val="99"/>
    <w:semiHidden/>
    <w:unhideWhenUsed/>
    <w:rsid w:val="00484091"/>
    <w:rPr>
      <w:sz w:val="16"/>
      <w:szCs w:val="16"/>
    </w:rPr>
  </w:style>
  <w:style w:type="paragraph" w:styleId="Kommentartext">
    <w:name w:val="annotation text"/>
    <w:basedOn w:val="Standard"/>
    <w:link w:val="KommentartextZchn"/>
    <w:uiPriority w:val="99"/>
    <w:semiHidden/>
    <w:unhideWhenUsed/>
    <w:rsid w:val="00484091"/>
    <w:rPr>
      <w:sz w:val="20"/>
      <w:szCs w:val="20"/>
    </w:rPr>
  </w:style>
  <w:style w:type="character" w:customStyle="1" w:styleId="KommentartextZchn">
    <w:name w:val="Kommentartext Zchn"/>
    <w:basedOn w:val="Absatz-Standardschriftart"/>
    <w:link w:val="Kommentartext"/>
    <w:uiPriority w:val="99"/>
    <w:semiHidden/>
    <w:rsid w:val="00484091"/>
    <w:rPr>
      <w:rFonts w:ascii="Helvetica" w:eastAsia="Helvetica" w:hAnsi="Helvetica" w:cs="Helvetica"/>
      <w:sz w:val="20"/>
      <w:szCs w:val="20"/>
    </w:rPr>
  </w:style>
  <w:style w:type="paragraph" w:styleId="Kommentarthema">
    <w:name w:val="annotation subject"/>
    <w:basedOn w:val="Kommentartext"/>
    <w:next w:val="Kommentartext"/>
    <w:link w:val="KommentarthemaZchn"/>
    <w:uiPriority w:val="99"/>
    <w:semiHidden/>
    <w:unhideWhenUsed/>
    <w:rsid w:val="00484091"/>
    <w:rPr>
      <w:b/>
      <w:bCs/>
    </w:rPr>
  </w:style>
  <w:style w:type="character" w:customStyle="1" w:styleId="KommentarthemaZchn">
    <w:name w:val="Kommentarthema Zchn"/>
    <w:basedOn w:val="KommentartextZchn"/>
    <w:link w:val="Kommentarthema"/>
    <w:uiPriority w:val="99"/>
    <w:semiHidden/>
    <w:rsid w:val="00484091"/>
    <w:rPr>
      <w:rFonts w:ascii="Helvetica" w:eastAsia="Helvetica" w:hAnsi="Helvetica" w:cs="Helvetica"/>
      <w:b/>
      <w:bCs/>
      <w:sz w:val="20"/>
      <w:szCs w:val="20"/>
    </w:rPr>
  </w:style>
  <w:style w:type="character" w:styleId="Hyperlink">
    <w:name w:val="Hyperlink"/>
    <w:basedOn w:val="Absatz-Standardschriftart"/>
    <w:uiPriority w:val="99"/>
    <w:unhideWhenUsed/>
    <w:rsid w:val="00EA50FF"/>
    <w:rPr>
      <w:color w:val="0000FF" w:themeColor="hyperlink"/>
      <w:u w:val="single"/>
    </w:rPr>
  </w:style>
  <w:style w:type="character" w:styleId="BesuchterLink">
    <w:name w:val="FollowedHyperlink"/>
    <w:basedOn w:val="Absatz-Standardschriftart"/>
    <w:uiPriority w:val="99"/>
    <w:semiHidden/>
    <w:unhideWhenUsed/>
    <w:rsid w:val="007F58B0"/>
    <w:rPr>
      <w:color w:val="800080" w:themeColor="followedHyperlink"/>
      <w:u w:val="single"/>
    </w:rPr>
  </w:style>
  <w:style w:type="character" w:styleId="NichtaufgelsteErwhnung">
    <w:name w:val="Unresolved Mention"/>
    <w:basedOn w:val="Absatz-Standardschriftart"/>
    <w:uiPriority w:val="99"/>
    <w:semiHidden/>
    <w:unhideWhenUsed/>
    <w:rsid w:val="0002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8/s41598-021-93706-7" TargetMode="External"/><Relationship Id="rId3" Type="http://schemas.openxmlformats.org/officeDocument/2006/relationships/webSettings" Target="webSettings.xml"/><Relationship Id="rId7" Type="http://schemas.openxmlformats.org/officeDocument/2006/relationships/hyperlink" Target="https://doi.org/10.1093/envhis/emab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7/S000305542100085X" TargetMode="External"/><Relationship Id="rId5" Type="http://schemas.openxmlformats.org/officeDocument/2006/relationships/hyperlink" Target="http://www.assh.ch/prix-releve-2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MM_Nachwuchspreis_2020_de</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MM_Nachwuchspreis_2020_de</dc:title>
  <dc:creator>Beatrice Kübli</dc:creator>
  <cp:lastModifiedBy>SAGW</cp:lastModifiedBy>
  <cp:revision>31</cp:revision>
  <dcterms:created xsi:type="dcterms:W3CDTF">2022-05-12T14:24:00Z</dcterms:created>
  <dcterms:modified xsi:type="dcterms:W3CDTF">2022-05-19T13:24:00Z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Word</vt:lpwstr>
  </property>
  <property fmtid="{D5CDD505-2E9C-101B-9397-08002B2CF9AE}" pid="4" name="LastSaved">
    <vt:filetime>2022-05-10T00:00:00Z</vt:filetime>
  </property>
</Properties>
</file>